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"/>
        <w:gridCol w:w="1055"/>
        <w:gridCol w:w="162"/>
        <w:gridCol w:w="254"/>
        <w:gridCol w:w="1074"/>
        <w:gridCol w:w="182"/>
        <w:gridCol w:w="109"/>
        <w:gridCol w:w="725"/>
        <w:gridCol w:w="1016"/>
        <w:gridCol w:w="630"/>
        <w:gridCol w:w="1388"/>
        <w:gridCol w:w="522"/>
        <w:gridCol w:w="254"/>
        <w:gridCol w:w="296"/>
        <w:gridCol w:w="202"/>
        <w:gridCol w:w="23"/>
        <w:gridCol w:w="314"/>
      </w:tblGrid>
      <w:tr w:rsidR="005F47C6" w:rsidRPr="005F47C6" w:rsidTr="003D798A">
        <w:trPr>
          <w:cantSplit/>
          <w:trHeight w:val="352"/>
        </w:trPr>
        <w:tc>
          <w:tcPr>
            <w:tcW w:w="683" w:type="pct"/>
            <w:gridSpan w:val="2"/>
            <w:vAlign w:val="center"/>
            <w:hideMark/>
          </w:tcPr>
          <w:p w:rsidR="005F47C6" w:rsidRPr="005F47C6" w:rsidRDefault="005F47C6" w:rsidP="005F47C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47C6">
              <w:rPr>
                <w:rFonts w:ascii="Times New Roman" w:eastAsia="標楷體" w:hAnsi="標楷體" w:cs="Times New Roman" w:hint="eastAsia"/>
                <w:szCs w:val="24"/>
              </w:rPr>
              <w:t>中信金融管理學院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5F47C6" w:rsidRPr="005F47C6" w:rsidRDefault="005F47C6" w:rsidP="005F47C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47C6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5F47C6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650" w:type="pct"/>
            <w:vAlign w:val="center"/>
            <w:hideMark/>
          </w:tcPr>
          <w:p w:rsidR="005F47C6" w:rsidRPr="005F47C6" w:rsidRDefault="005F47C6" w:rsidP="005F47C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5F47C6">
              <w:rPr>
                <w:rFonts w:ascii="Times New Roman" w:eastAsia="標楷體" w:hAnsi="標楷體" w:cs="Times New Roman" w:hint="eastAsia"/>
                <w:szCs w:val="24"/>
              </w:rPr>
              <w:t>學年度第</w:t>
            </w:r>
            <w:proofErr w:type="gramEnd"/>
          </w:p>
        </w:tc>
        <w:tc>
          <w:tcPr>
            <w:tcW w:w="178" w:type="pct"/>
            <w:gridSpan w:val="2"/>
            <w:vAlign w:val="center"/>
            <w:hideMark/>
          </w:tcPr>
          <w:p w:rsidR="005F47C6" w:rsidRPr="005F47C6" w:rsidRDefault="005F47C6" w:rsidP="005F47C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47C6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1429" w:type="pct"/>
            <w:gridSpan w:val="3"/>
            <w:vAlign w:val="center"/>
            <w:hideMark/>
          </w:tcPr>
          <w:p w:rsidR="005F47C6" w:rsidRPr="005F47C6" w:rsidRDefault="005F47C6" w:rsidP="005F47C6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F47C6">
              <w:rPr>
                <w:rFonts w:ascii="Times New Roman" w:eastAsia="標楷體" w:hAnsi="標楷體" w:cs="Times New Roman" w:hint="eastAsia"/>
                <w:szCs w:val="24"/>
              </w:rPr>
              <w:t>學期</w:t>
            </w:r>
            <w:r w:rsidRPr="005F47C6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Pr="005F47C6">
              <w:rPr>
                <w:rFonts w:ascii="Times New Roman" w:eastAsia="標楷體" w:hAnsi="標楷體" w:cs="Times New Roman" w:hint="eastAsia"/>
                <w:szCs w:val="24"/>
              </w:rPr>
              <w:t>平時考試命題紙</w:t>
            </w:r>
          </w:p>
        </w:tc>
        <w:tc>
          <w:tcPr>
            <w:tcW w:w="11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47C6" w:rsidRPr="005F47C6" w:rsidRDefault="005F47C6" w:rsidP="005F47C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47C6">
              <w:rPr>
                <w:rFonts w:ascii="Times New Roman" w:eastAsia="標楷體" w:hAnsi="標楷體" w:cs="Times New Roman" w:hint="eastAsia"/>
                <w:szCs w:val="24"/>
              </w:rPr>
              <w:t>需要</w:t>
            </w:r>
            <w:proofErr w:type="gramStart"/>
            <w:r w:rsidRPr="005F47C6">
              <w:rPr>
                <w:rFonts w:ascii="Times New Roman" w:eastAsia="標楷體" w:hAnsi="標楷體" w:cs="Times New Roman" w:hint="eastAsia"/>
                <w:szCs w:val="24"/>
              </w:rPr>
              <w:t>答案紙以</w:t>
            </w:r>
            <w:proofErr w:type="gramEnd"/>
            <w:r w:rsidRPr="005F47C6">
              <w:rPr>
                <w:rFonts w:ascii="Times New Roman" w:eastAsia="標楷體" w:hAnsi="Times New Roman" w:cs="Times New Roman"/>
                <w:szCs w:val="24"/>
              </w:rPr>
              <w:t>V</w:t>
            </w:r>
            <w:r w:rsidRPr="005F47C6">
              <w:rPr>
                <w:rFonts w:ascii="Times New Roman" w:eastAsia="標楷體" w:hAnsi="標楷體" w:cs="Times New Roman" w:hint="eastAsia"/>
                <w:szCs w:val="24"/>
              </w:rPr>
              <w:t>表示之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C6" w:rsidRPr="005F47C6" w:rsidRDefault="005F47C6" w:rsidP="005F47C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47C6">
              <w:rPr>
                <w:rFonts w:ascii="Times New Roman" w:eastAsia="標楷體" w:hAnsi="Times New Roman" w:cs="Times New Roman"/>
                <w:szCs w:val="24"/>
              </w:rPr>
              <w:t>V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7C6" w:rsidRPr="005F47C6" w:rsidRDefault="005F47C6" w:rsidP="005F47C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47C6">
              <w:rPr>
                <w:rFonts w:ascii="Times New Roman" w:eastAsia="標楷體" w:hAnsi="標楷體" w:cs="Times New Roman" w:hint="eastAsia"/>
                <w:szCs w:val="24"/>
              </w:rPr>
              <w:t>是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C6" w:rsidRPr="005F47C6" w:rsidRDefault="005F47C6" w:rsidP="005F47C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47C6" w:rsidRPr="005F47C6" w:rsidRDefault="005F47C6" w:rsidP="005F47C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47C6">
              <w:rPr>
                <w:rFonts w:ascii="Times New Roman" w:eastAsia="標楷體" w:hAnsi="標楷體" w:cs="Times New Roman" w:hint="eastAsia"/>
                <w:szCs w:val="24"/>
              </w:rPr>
              <w:t>否</w:t>
            </w:r>
          </w:p>
        </w:tc>
      </w:tr>
      <w:tr w:rsidR="005F47C6" w:rsidRPr="005F47C6" w:rsidTr="003D798A">
        <w:trPr>
          <w:gridBefore w:val="2"/>
          <w:wBefore w:w="683" w:type="pct"/>
          <w:cantSplit/>
          <w:trHeight w:val="70"/>
        </w:trPr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47C6" w:rsidRPr="005F47C6" w:rsidRDefault="005F47C6" w:rsidP="005F47C6">
            <w:pPr>
              <w:spacing w:line="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7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47C6" w:rsidRPr="005F47C6" w:rsidRDefault="005F47C6" w:rsidP="005F47C6">
            <w:pPr>
              <w:spacing w:line="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47C6" w:rsidRPr="005F47C6" w:rsidTr="003D798A">
        <w:trPr>
          <w:gridBefore w:val="1"/>
          <w:wBefore w:w="44" w:type="pct"/>
          <w:cantSplit/>
          <w:trHeight w:val="249"/>
        </w:trPr>
        <w:tc>
          <w:tcPr>
            <w:tcW w:w="736" w:type="pct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C6" w:rsidRPr="005F47C6" w:rsidRDefault="005F47C6" w:rsidP="005F47C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47C6">
              <w:rPr>
                <w:rFonts w:ascii="Times New Roman" w:eastAsia="標楷體" w:hAnsi="標楷體" w:cs="Times New Roman" w:hint="eastAsia"/>
                <w:szCs w:val="24"/>
              </w:rPr>
              <w:t>班</w:t>
            </w:r>
            <w:r w:rsidRPr="005F47C6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5F47C6">
              <w:rPr>
                <w:rFonts w:ascii="Times New Roman" w:eastAsia="標楷體" w:hAnsi="標楷體" w:cs="Times New Roman" w:hint="eastAsia"/>
                <w:szCs w:val="24"/>
              </w:rPr>
              <w:t>別</w:t>
            </w:r>
          </w:p>
        </w:tc>
        <w:tc>
          <w:tcPr>
            <w:tcW w:w="914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C6" w:rsidRPr="005F47C6" w:rsidRDefault="005F47C6" w:rsidP="005F47C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47C6">
              <w:rPr>
                <w:rFonts w:ascii="Times New Roman" w:eastAsia="標楷體" w:hAnsi="標楷體" w:cs="Times New Roman" w:hint="eastAsia"/>
                <w:szCs w:val="24"/>
              </w:rPr>
              <w:t>科</w:t>
            </w:r>
            <w:r w:rsidRPr="005F47C6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5F47C6">
              <w:rPr>
                <w:rFonts w:ascii="Times New Roman" w:eastAsia="標楷體" w:hAnsi="標楷體" w:cs="Times New Roman" w:hint="eastAsia"/>
                <w:szCs w:val="24"/>
              </w:rPr>
              <w:t>目</w:t>
            </w:r>
          </w:p>
        </w:tc>
        <w:tc>
          <w:tcPr>
            <w:tcW w:w="506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C6" w:rsidRPr="005F47C6" w:rsidRDefault="005F47C6" w:rsidP="005F47C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5F47C6">
              <w:rPr>
                <w:rFonts w:ascii="Times New Roman" w:eastAsia="標楷體" w:hAnsi="標楷體" w:cs="Times New Roman" w:hint="eastAsia"/>
                <w:szCs w:val="24"/>
              </w:rPr>
              <w:t>試別</w:t>
            </w:r>
            <w:proofErr w:type="gramEnd"/>
          </w:p>
        </w:tc>
        <w:tc>
          <w:tcPr>
            <w:tcW w:w="60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C6" w:rsidRPr="005F47C6" w:rsidRDefault="005F47C6" w:rsidP="005F47C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47C6">
              <w:rPr>
                <w:rFonts w:ascii="Times New Roman" w:eastAsia="標楷體" w:hAnsi="標楷體" w:cs="Times New Roman" w:hint="eastAsia"/>
                <w:szCs w:val="24"/>
              </w:rPr>
              <w:t>考試日期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C6" w:rsidRPr="005F47C6" w:rsidRDefault="005F47C6" w:rsidP="005F47C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47C6">
              <w:rPr>
                <w:rFonts w:ascii="Times New Roman" w:eastAsia="標楷體" w:hAnsi="標楷體" w:cs="Times New Roman" w:hint="eastAsia"/>
                <w:kern w:val="0"/>
                <w:szCs w:val="24"/>
              </w:rPr>
              <w:t>考試時間</w:t>
            </w:r>
          </w:p>
        </w:tc>
        <w:tc>
          <w:tcPr>
            <w:tcW w:w="84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C6" w:rsidRPr="005F47C6" w:rsidRDefault="005F47C6" w:rsidP="005F47C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47C6">
              <w:rPr>
                <w:rFonts w:ascii="Times New Roman" w:eastAsia="標楷體" w:hAnsi="標楷體" w:cs="Times New Roman" w:hint="eastAsia"/>
                <w:szCs w:val="24"/>
              </w:rPr>
              <w:t>授課教師</w:t>
            </w:r>
          </w:p>
        </w:tc>
        <w:tc>
          <w:tcPr>
            <w:tcW w:w="464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C6" w:rsidRPr="005F47C6" w:rsidRDefault="005F47C6" w:rsidP="005F47C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47C6">
              <w:rPr>
                <w:rFonts w:ascii="Times New Roman" w:eastAsia="標楷體" w:hAnsi="標楷體" w:cs="Times New Roman" w:hint="eastAsia"/>
                <w:w w:val="75"/>
                <w:kern w:val="0"/>
                <w:szCs w:val="24"/>
                <w:fitText w:val="720" w:id="1417963522"/>
              </w:rPr>
              <w:t>應考人數</w:t>
            </w:r>
          </w:p>
        </w:tc>
        <w:tc>
          <w:tcPr>
            <w:tcW w:w="300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C6" w:rsidRPr="005F47C6" w:rsidRDefault="005F47C6" w:rsidP="005F47C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47C6">
              <w:rPr>
                <w:rFonts w:ascii="Times New Roman" w:eastAsia="標楷體" w:hAnsi="標楷體" w:cs="Times New Roman" w:hint="eastAsia"/>
                <w:szCs w:val="24"/>
              </w:rPr>
              <w:t>單面</w:t>
            </w:r>
          </w:p>
        </w:tc>
        <w:tc>
          <w:tcPr>
            <w:tcW w:w="206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47C6" w:rsidRPr="005F47C6" w:rsidRDefault="005F47C6" w:rsidP="005F47C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47C6">
              <w:rPr>
                <w:rFonts w:ascii="Times New Roman" w:eastAsia="標楷體" w:hAnsi="標楷體" w:cs="Times New Roman" w:hint="eastAsia"/>
                <w:szCs w:val="24"/>
              </w:rPr>
              <w:t>雙面</w:t>
            </w:r>
          </w:p>
        </w:tc>
      </w:tr>
      <w:tr w:rsidR="005F47C6" w:rsidRPr="005F47C6" w:rsidTr="003D798A">
        <w:trPr>
          <w:gridBefore w:val="1"/>
          <w:wBefore w:w="44" w:type="pct"/>
          <w:cantSplit/>
          <w:trHeight w:val="431"/>
        </w:trPr>
        <w:tc>
          <w:tcPr>
            <w:tcW w:w="736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47C6" w:rsidRPr="005F47C6" w:rsidRDefault="005F47C6" w:rsidP="005F47C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47C6" w:rsidRPr="005F47C6" w:rsidRDefault="005F47C6" w:rsidP="005F47C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47C6">
              <w:rPr>
                <w:rFonts w:ascii="Times New Roman" w:eastAsia="標楷體" w:hAnsi="標楷體" w:cs="Times New Roman" w:hint="eastAsia"/>
                <w:szCs w:val="24"/>
              </w:rPr>
              <w:t>會計學</w:t>
            </w:r>
            <w:r w:rsidRPr="005F47C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47C6" w:rsidRPr="005F47C6" w:rsidRDefault="005F47C6" w:rsidP="005F47C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47C6">
              <w:rPr>
                <w:rFonts w:ascii="Times New Roman" w:eastAsia="標楷體" w:hAnsi="標楷體" w:cs="Times New Roman" w:hint="eastAsia"/>
                <w:szCs w:val="24"/>
              </w:rPr>
              <w:t>平時考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47C6" w:rsidRPr="005F47C6" w:rsidRDefault="005F47C6" w:rsidP="005F47C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47C6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5F47C6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5F47C6">
              <w:rPr>
                <w:rFonts w:ascii="Times New Roman" w:eastAsia="標楷體" w:hAnsi="Times New Roman" w:cs="Times New Roman"/>
                <w:szCs w:val="24"/>
              </w:rPr>
              <w:t>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04</w:t>
            </w:r>
            <w:r w:rsidRPr="005F47C6">
              <w:rPr>
                <w:rFonts w:ascii="Times New Roman" w:eastAsia="標楷體" w:hAnsi="Times New Roman" w:cs="Times New Roman"/>
                <w:szCs w:val="24"/>
              </w:rPr>
              <w:t>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5F47C6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47C6" w:rsidRPr="005F47C6" w:rsidRDefault="005F47C6" w:rsidP="005F47C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47C6" w:rsidRPr="005F47C6" w:rsidRDefault="005F47C6" w:rsidP="005F47C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47C6">
              <w:rPr>
                <w:rFonts w:ascii="Times New Roman" w:eastAsia="標楷體" w:hAnsi="Times New Roman" w:cs="Times New Roman" w:hint="eastAsia"/>
                <w:szCs w:val="24"/>
              </w:rPr>
              <w:t>林哲弘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47C6" w:rsidRPr="005F47C6" w:rsidRDefault="005F47C6" w:rsidP="005F47C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47C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47C6" w:rsidRPr="005F47C6" w:rsidRDefault="005F47C6" w:rsidP="005F47C6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7C6" w:rsidRPr="005F47C6" w:rsidRDefault="005F47C6" w:rsidP="005F47C6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47C6">
              <w:rPr>
                <w:rFonts w:ascii="Times New Roman" w:eastAsia="標楷體" w:hAnsi="Times New Roman" w:cs="Times New Roman"/>
                <w:szCs w:val="24"/>
              </w:rPr>
              <w:t>V</w:t>
            </w:r>
          </w:p>
        </w:tc>
      </w:tr>
    </w:tbl>
    <w:p w:rsidR="00AD4A3A" w:rsidRPr="00AD4A3A" w:rsidRDefault="00AD4A3A" w:rsidP="00AD4A3A">
      <w:pPr>
        <w:pStyle w:val="a7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AD4A3A">
        <w:rPr>
          <w:rFonts w:ascii="Times New Roman" w:eastAsia="標楷體" w:hAnsi="Times New Roman" w:cs="Times New Roman"/>
        </w:rPr>
        <w:t xml:space="preserve">Passat Company owns a building that appears on its prior year-end </w:t>
      </w:r>
      <w:r>
        <w:rPr>
          <w:rFonts w:ascii="Times New Roman" w:eastAsia="標楷體" w:hAnsi="Times New Roman" w:cs="Times New Roman"/>
        </w:rPr>
        <w:t>statement of financial position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AD4A3A">
        <w:rPr>
          <w:rFonts w:ascii="Times New Roman" w:eastAsia="標楷體" w:hAnsi="Times New Roman" w:cs="Times New Roman"/>
        </w:rPr>
        <w:t xml:space="preserve">at its original $561,000 cost less $420,750 accumulated depreciation. The building is depreciated on a straight-line basis assuming a 20-year life and no residual value. During the first week in January of the current calendar year, </w:t>
      </w:r>
      <w:r w:rsidRPr="00AD4A3A">
        <w:rPr>
          <w:rFonts w:ascii="Times New Roman" w:eastAsia="標楷體" w:hAnsi="Times New Roman" w:cs="Times New Roman"/>
          <w:u w:val="double"/>
        </w:rPr>
        <w:t>major structural repairs</w:t>
      </w:r>
      <w:r w:rsidRPr="00AD4A3A">
        <w:rPr>
          <w:rFonts w:ascii="Times New Roman" w:eastAsia="標楷體" w:hAnsi="Times New Roman" w:cs="Times New Roman"/>
        </w:rPr>
        <w:t xml:space="preserve"> are completed on the building at a $67,200 cost. The repairs extend its useful life for 7 years beyond the 20 years originally estimated.</w:t>
      </w:r>
    </w:p>
    <w:p w:rsidR="00AD4A3A" w:rsidRPr="00AD4A3A" w:rsidRDefault="00AD4A3A" w:rsidP="00AD4A3A">
      <w:pPr>
        <w:pStyle w:val="a7"/>
        <w:ind w:left="960" w:hangingChars="200" w:hanging="48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(</w:t>
      </w:r>
      <w:r w:rsidRPr="00AD4A3A"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/>
        </w:rPr>
        <w:t>)</w:t>
      </w:r>
      <w:r w:rsidRPr="00AD4A3A">
        <w:rPr>
          <w:rFonts w:ascii="Times New Roman" w:eastAsia="標楷體" w:hAnsi="Times New Roman" w:cs="Times New Roman"/>
        </w:rPr>
        <w:t>. Determine the building's age (property, plant and equipment age) as of the prior year-end balance sheet date.</w:t>
      </w:r>
      <w:r>
        <w:rPr>
          <w:rFonts w:ascii="Times New Roman" w:eastAsia="標楷體" w:hAnsi="Times New Roman" w:cs="Times New Roman"/>
        </w:rPr>
        <w:t xml:space="preserve"> (5%)</w:t>
      </w:r>
    </w:p>
    <w:p w:rsidR="00AD4A3A" w:rsidRPr="00AD4A3A" w:rsidRDefault="00AD4A3A" w:rsidP="00AD4A3A">
      <w:pPr>
        <w:pStyle w:val="a7"/>
        <w:ind w:left="960" w:hangingChars="200" w:hanging="48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(</w:t>
      </w:r>
      <w:r w:rsidRPr="00AD4A3A">
        <w:rPr>
          <w:rFonts w:ascii="Times New Roman" w:eastAsia="標楷體" w:hAnsi="Times New Roman" w:cs="Times New Roman"/>
        </w:rPr>
        <w:t>2</w:t>
      </w:r>
      <w:r>
        <w:rPr>
          <w:rFonts w:ascii="Times New Roman" w:eastAsia="標楷體" w:hAnsi="Times New Roman" w:cs="Times New Roman"/>
        </w:rPr>
        <w:t>)</w:t>
      </w:r>
      <w:r w:rsidRPr="00AD4A3A">
        <w:rPr>
          <w:rFonts w:ascii="Times New Roman" w:eastAsia="標楷體" w:hAnsi="Times New Roman" w:cs="Times New Roman"/>
        </w:rPr>
        <w:t>. Prepare the entry to record the cost of the structural repairs that are paid in cash.</w:t>
      </w:r>
      <w:r>
        <w:rPr>
          <w:rFonts w:ascii="Times New Roman" w:eastAsia="標楷體" w:hAnsi="Times New Roman" w:cs="Times New Roman"/>
        </w:rPr>
        <w:t xml:space="preserve"> (5%)</w:t>
      </w:r>
    </w:p>
    <w:p w:rsidR="00AD4A3A" w:rsidRPr="00AD4A3A" w:rsidRDefault="00AD4A3A" w:rsidP="00AD4A3A">
      <w:pPr>
        <w:pStyle w:val="a7"/>
        <w:ind w:left="960" w:hangingChars="200" w:hanging="48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(</w:t>
      </w:r>
      <w:r w:rsidRPr="00AD4A3A">
        <w:rPr>
          <w:rFonts w:ascii="Times New Roman" w:eastAsia="標楷體" w:hAnsi="Times New Roman" w:cs="Times New Roman"/>
        </w:rPr>
        <w:t>3</w:t>
      </w:r>
      <w:r>
        <w:rPr>
          <w:rFonts w:ascii="Times New Roman" w:eastAsia="標楷體" w:hAnsi="Times New Roman" w:cs="Times New Roman"/>
        </w:rPr>
        <w:t>)</w:t>
      </w:r>
      <w:r w:rsidRPr="00AD4A3A">
        <w:rPr>
          <w:rFonts w:ascii="Times New Roman" w:eastAsia="標楷體" w:hAnsi="Times New Roman" w:cs="Times New Roman"/>
        </w:rPr>
        <w:t>. Determine the carrying amount of the building immediately after the repairs are recorded.</w:t>
      </w:r>
      <w:r>
        <w:rPr>
          <w:rFonts w:ascii="Times New Roman" w:eastAsia="標楷體" w:hAnsi="Times New Roman" w:cs="Times New Roman"/>
        </w:rPr>
        <w:t xml:space="preserve"> (5%)</w:t>
      </w:r>
    </w:p>
    <w:p w:rsidR="00024B55" w:rsidRDefault="00AD4A3A" w:rsidP="00AD4A3A">
      <w:pPr>
        <w:pStyle w:val="a7"/>
        <w:ind w:leftChars="0" w:left="360" w:firstLineChars="50" w:firstLine="1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(</w:t>
      </w:r>
      <w:r w:rsidRPr="00AD4A3A">
        <w:rPr>
          <w:rFonts w:ascii="Times New Roman" w:eastAsia="標楷體" w:hAnsi="Times New Roman" w:cs="Times New Roman"/>
        </w:rPr>
        <w:t>4</w:t>
      </w:r>
      <w:r>
        <w:rPr>
          <w:rFonts w:ascii="Times New Roman" w:eastAsia="標楷體" w:hAnsi="Times New Roman" w:cs="Times New Roman"/>
        </w:rPr>
        <w:t>)</w:t>
      </w:r>
      <w:r w:rsidRPr="00AD4A3A">
        <w:rPr>
          <w:rFonts w:ascii="Times New Roman" w:eastAsia="標楷體" w:hAnsi="Times New Roman" w:cs="Times New Roman"/>
        </w:rPr>
        <w:t>. Prepare the entry to record the current calendar year's depreciation.</w:t>
      </w:r>
      <w:r>
        <w:rPr>
          <w:rFonts w:ascii="Times New Roman" w:eastAsia="標楷體" w:hAnsi="Times New Roman" w:cs="Times New Roman"/>
        </w:rPr>
        <w:t xml:space="preserve"> (5%)</w:t>
      </w:r>
    </w:p>
    <w:p w:rsidR="00024B55" w:rsidRPr="00AD4A3A" w:rsidRDefault="00024B55" w:rsidP="00024B55">
      <w:pPr>
        <w:pStyle w:val="a7"/>
        <w:ind w:leftChars="0" w:left="360"/>
        <w:jc w:val="both"/>
        <w:rPr>
          <w:rFonts w:ascii="Times New Roman" w:eastAsia="標楷體" w:hAnsi="Times New Roman" w:cs="Times New Roman"/>
        </w:rPr>
      </w:pPr>
    </w:p>
    <w:p w:rsidR="00637E8D" w:rsidRPr="00947BD7" w:rsidRDefault="00637E8D" w:rsidP="00947BD7">
      <w:pPr>
        <w:pStyle w:val="a7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637E8D">
        <w:rPr>
          <w:rFonts w:ascii="Times New Roman" w:eastAsia="標楷體" w:hAnsi="Times New Roman" w:cs="Times New Roman"/>
        </w:rPr>
        <w:t xml:space="preserve">Feng Company installs a computerized manufacturing machine in its factory </w:t>
      </w:r>
      <w:r>
        <w:rPr>
          <w:rFonts w:ascii="Times New Roman" w:eastAsia="標楷體" w:hAnsi="Times New Roman" w:cs="Times New Roman"/>
        </w:rPr>
        <w:t>on</w:t>
      </w:r>
      <w:r w:rsidRPr="00637E8D">
        <w:rPr>
          <w:rFonts w:ascii="Times New Roman" w:eastAsia="標楷體" w:hAnsi="Times New Roman" w:cs="Times New Roman"/>
          <w:u w:val="double"/>
        </w:rPr>
        <w:t xml:space="preserve"> January 1, 2015</w:t>
      </w:r>
      <w:r w:rsidRPr="00637E8D">
        <w:rPr>
          <w:rFonts w:ascii="Times New Roman" w:eastAsia="標楷體" w:hAnsi="Times New Roman" w:cs="Times New Roman"/>
        </w:rPr>
        <w:t xml:space="preserve"> at a cost of $42,300. The machine's useful life is estimated at 10 years, or 363,000 units of product, with a $6,000 residual value. During its </w:t>
      </w:r>
      <w:r w:rsidR="00947BD7">
        <w:rPr>
          <w:rFonts w:ascii="Times New Roman" w:eastAsia="標楷體" w:hAnsi="Times New Roman" w:cs="Times New Roman"/>
        </w:rPr>
        <w:t>first</w:t>
      </w:r>
      <w:r w:rsidR="00947BD7" w:rsidRPr="00637E8D">
        <w:rPr>
          <w:rFonts w:ascii="Times New Roman" w:eastAsia="標楷體" w:hAnsi="Times New Roman" w:cs="Times New Roman"/>
        </w:rPr>
        <w:t>-year</w:t>
      </w:r>
      <w:r w:rsidR="00947BD7">
        <w:rPr>
          <w:rFonts w:ascii="Times New Roman" w:eastAsia="標楷體" w:hAnsi="Times New Roman" w:cs="Times New Roman"/>
        </w:rPr>
        <w:t>, the machine produces 34</w:t>
      </w:r>
      <w:r w:rsidR="00947BD7" w:rsidRPr="00637E8D">
        <w:rPr>
          <w:rFonts w:ascii="Times New Roman" w:eastAsia="標楷體" w:hAnsi="Times New Roman" w:cs="Times New Roman"/>
        </w:rPr>
        <w:t>,000 units of product.</w:t>
      </w:r>
      <w:r w:rsidR="00947BD7">
        <w:rPr>
          <w:rFonts w:ascii="Times New Roman" w:eastAsia="標楷體" w:hAnsi="Times New Roman" w:cs="Times New Roman"/>
        </w:rPr>
        <w:t xml:space="preserve"> </w:t>
      </w:r>
      <w:r w:rsidR="00947BD7" w:rsidRPr="00637E8D">
        <w:rPr>
          <w:rFonts w:ascii="Times New Roman" w:eastAsia="標楷體" w:hAnsi="Times New Roman" w:cs="Times New Roman"/>
        </w:rPr>
        <w:t>During</w:t>
      </w:r>
      <w:r w:rsidR="00947BD7">
        <w:rPr>
          <w:rFonts w:ascii="Times New Roman" w:eastAsia="標楷體" w:hAnsi="Times New Roman" w:cs="Times New Roman"/>
        </w:rPr>
        <w:t xml:space="preserve"> </w:t>
      </w:r>
      <w:r w:rsidRPr="00947BD7">
        <w:rPr>
          <w:rFonts w:ascii="Times New Roman" w:eastAsia="標楷體" w:hAnsi="Times New Roman" w:cs="Times New Roman"/>
        </w:rPr>
        <w:t xml:space="preserve">second year, the machine produces 35,000 units of product. </w:t>
      </w:r>
    </w:p>
    <w:p w:rsidR="00637E8D" w:rsidRPr="00637E8D" w:rsidRDefault="00637E8D" w:rsidP="00637E8D">
      <w:pPr>
        <w:ind w:leftChars="200" w:left="960" w:hangingChars="200" w:hanging="48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(1). </w:t>
      </w:r>
      <w:r w:rsidRPr="00637E8D">
        <w:rPr>
          <w:rFonts w:ascii="Times New Roman" w:eastAsia="標楷體" w:hAnsi="Times New Roman" w:cs="Times New Roman"/>
        </w:rPr>
        <w:t>Determine the machine's second-year depreciation under the straight-line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637E8D">
        <w:rPr>
          <w:rFonts w:ascii="Times New Roman" w:eastAsia="標楷體" w:hAnsi="Times New Roman" w:cs="Times New Roman"/>
        </w:rPr>
        <w:t>method.</w:t>
      </w:r>
      <w:r w:rsidRPr="00637E8D">
        <w:t xml:space="preserve"> </w:t>
      </w:r>
      <w:r w:rsidRPr="00637E8D">
        <w:rPr>
          <w:rFonts w:ascii="Times New Roman" w:eastAsia="標楷體" w:hAnsi="Times New Roman" w:cs="Times New Roman"/>
        </w:rPr>
        <w:t>(5%)</w:t>
      </w:r>
    </w:p>
    <w:p w:rsidR="00637E8D" w:rsidRPr="00637E8D" w:rsidRDefault="00637E8D" w:rsidP="00637E8D">
      <w:pPr>
        <w:ind w:leftChars="200" w:left="960" w:hangingChars="200" w:hanging="48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(2). </w:t>
      </w:r>
      <w:r w:rsidRPr="00637E8D">
        <w:rPr>
          <w:rFonts w:ascii="Times New Roman" w:eastAsia="標楷體" w:hAnsi="Times New Roman" w:cs="Times New Roman"/>
        </w:rPr>
        <w:t>Determine the machine's second-year depreciation using the units-of-production method.</w:t>
      </w:r>
      <w:r w:rsidRPr="00637E8D">
        <w:t xml:space="preserve"> </w:t>
      </w:r>
      <w:r w:rsidRPr="00637E8D">
        <w:rPr>
          <w:rFonts w:ascii="Times New Roman" w:eastAsia="標楷體" w:hAnsi="Times New Roman" w:cs="Times New Roman"/>
        </w:rPr>
        <w:t>(5%)</w:t>
      </w:r>
    </w:p>
    <w:p w:rsidR="00024B55" w:rsidRPr="00637E8D" w:rsidRDefault="00637E8D" w:rsidP="00637E8D">
      <w:pPr>
        <w:ind w:leftChars="200" w:left="960" w:hangingChars="200" w:hanging="480"/>
        <w:jc w:val="both"/>
        <w:rPr>
          <w:rFonts w:ascii="Times New Roman" w:eastAsia="標楷體" w:hAnsi="Times New Roman" w:cs="Times New Roman"/>
        </w:rPr>
      </w:pPr>
      <w:r w:rsidRPr="00637E8D">
        <w:rPr>
          <w:rFonts w:ascii="Times New Roman" w:eastAsia="標楷體" w:hAnsi="Times New Roman" w:cs="Times New Roman"/>
        </w:rPr>
        <w:t>(3). Determine the machine's second-year depreciation using the double-declining-balance method.</w:t>
      </w:r>
      <w:r w:rsidRPr="00637E8D">
        <w:t xml:space="preserve"> </w:t>
      </w:r>
      <w:r w:rsidRPr="00637E8D">
        <w:rPr>
          <w:rFonts w:ascii="Times New Roman" w:eastAsia="標楷體" w:hAnsi="Times New Roman" w:cs="Times New Roman"/>
        </w:rPr>
        <w:t>(5%)</w:t>
      </w:r>
    </w:p>
    <w:p w:rsidR="00637E8D" w:rsidRDefault="00637E8D" w:rsidP="00637E8D">
      <w:pPr>
        <w:pStyle w:val="a7"/>
        <w:ind w:leftChars="0" w:left="120" w:hangingChars="50" w:hanging="1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 xml:space="preserve">   </w:t>
      </w:r>
      <w:r>
        <w:rPr>
          <w:rFonts w:ascii="Times New Roman" w:eastAsia="標楷體" w:hAnsi="Times New Roman" w:cs="Times New Roman" w:hint="eastAsia"/>
        </w:rPr>
        <w:t xml:space="preserve">*Refer to the above information, but the period </w:t>
      </w:r>
      <w:r>
        <w:rPr>
          <w:rFonts w:ascii="Times New Roman" w:eastAsia="標楷體" w:hAnsi="Times New Roman" w:cs="Times New Roman"/>
        </w:rPr>
        <w:t xml:space="preserve">is </w:t>
      </w:r>
      <w:r w:rsidRPr="00637E8D">
        <w:rPr>
          <w:rFonts w:ascii="Times New Roman" w:eastAsia="標楷體" w:hAnsi="Times New Roman" w:cs="Times New Roman"/>
          <w:u w:val="double"/>
        </w:rPr>
        <w:t>April 1, 2015</w:t>
      </w:r>
      <w:r>
        <w:rPr>
          <w:rFonts w:ascii="Times New Roman" w:eastAsia="標楷體" w:hAnsi="Times New Roman" w:cs="Times New Roman"/>
        </w:rPr>
        <w:t xml:space="preserve"> instead of </w:t>
      </w:r>
      <w:r w:rsidRPr="00637E8D">
        <w:rPr>
          <w:rFonts w:ascii="Times New Roman" w:eastAsia="標楷體" w:hAnsi="Times New Roman" w:cs="Times New Roman"/>
        </w:rPr>
        <w:t>January</w:t>
      </w:r>
    </w:p>
    <w:p w:rsidR="00024B55" w:rsidRDefault="00637E8D" w:rsidP="00637E8D">
      <w:pPr>
        <w:pStyle w:val="a7"/>
        <w:ind w:leftChars="50" w:left="120" w:firstLineChars="150" w:firstLine="360"/>
        <w:jc w:val="both"/>
        <w:rPr>
          <w:rFonts w:ascii="Times New Roman" w:eastAsia="標楷體" w:hAnsi="Times New Roman" w:cs="Times New Roman"/>
        </w:rPr>
      </w:pPr>
      <w:r w:rsidRPr="00637E8D">
        <w:rPr>
          <w:rFonts w:ascii="Times New Roman" w:eastAsia="標楷體" w:hAnsi="Times New Roman" w:cs="Times New Roman"/>
        </w:rPr>
        <w:t xml:space="preserve"> 1, 2015</w:t>
      </w:r>
      <w:r>
        <w:rPr>
          <w:rFonts w:ascii="Times New Roman" w:eastAsia="標楷體" w:hAnsi="Times New Roman" w:cs="Times New Roman"/>
        </w:rPr>
        <w:t>.</w:t>
      </w:r>
    </w:p>
    <w:p w:rsidR="00637E8D" w:rsidRPr="00637E8D" w:rsidRDefault="00637E8D" w:rsidP="00637E8D">
      <w:pPr>
        <w:pStyle w:val="a7"/>
        <w:ind w:left="960" w:hangingChars="200" w:hanging="48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(4</w:t>
      </w:r>
      <w:r w:rsidRPr="00637E8D">
        <w:rPr>
          <w:rFonts w:ascii="Times New Roman" w:eastAsia="標楷體" w:hAnsi="Times New Roman" w:cs="Times New Roman"/>
        </w:rPr>
        <w:t xml:space="preserve">). Determine the machine's </w:t>
      </w:r>
      <w:r w:rsidR="00947BD7">
        <w:rPr>
          <w:rFonts w:ascii="Times New Roman" w:eastAsia="標楷體" w:hAnsi="Times New Roman" w:cs="Times New Roman"/>
        </w:rPr>
        <w:t>first</w:t>
      </w:r>
      <w:r w:rsidRPr="00637E8D">
        <w:rPr>
          <w:rFonts w:ascii="Times New Roman" w:eastAsia="標楷體" w:hAnsi="Times New Roman" w:cs="Times New Roman"/>
        </w:rPr>
        <w:t>-year depreciation under the straight-line method.</w:t>
      </w:r>
      <w:r w:rsidRPr="00637E8D">
        <w:t xml:space="preserve"> </w:t>
      </w:r>
      <w:r w:rsidRPr="00637E8D">
        <w:rPr>
          <w:rFonts w:ascii="Times New Roman" w:eastAsia="標楷體" w:hAnsi="Times New Roman" w:cs="Times New Roman"/>
        </w:rPr>
        <w:t>(5%)</w:t>
      </w:r>
    </w:p>
    <w:p w:rsidR="00637E8D" w:rsidRPr="00637E8D" w:rsidRDefault="00637E8D" w:rsidP="00637E8D">
      <w:pPr>
        <w:pStyle w:val="a7"/>
        <w:ind w:left="960" w:hangingChars="200" w:hanging="48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(5</w:t>
      </w:r>
      <w:r w:rsidRPr="00637E8D">
        <w:rPr>
          <w:rFonts w:ascii="Times New Roman" w:eastAsia="標楷體" w:hAnsi="Times New Roman" w:cs="Times New Roman"/>
        </w:rPr>
        <w:t xml:space="preserve">). Determine the machine's </w:t>
      </w:r>
      <w:r w:rsidR="00947BD7">
        <w:rPr>
          <w:rFonts w:ascii="Times New Roman" w:eastAsia="標楷體" w:hAnsi="Times New Roman" w:cs="Times New Roman"/>
        </w:rPr>
        <w:t>first</w:t>
      </w:r>
      <w:r w:rsidRPr="00637E8D">
        <w:rPr>
          <w:rFonts w:ascii="Times New Roman" w:eastAsia="標楷體" w:hAnsi="Times New Roman" w:cs="Times New Roman"/>
        </w:rPr>
        <w:t>-year depreciation using the units-of-production method.</w:t>
      </w:r>
      <w:r w:rsidRPr="00637E8D">
        <w:t xml:space="preserve"> </w:t>
      </w:r>
      <w:r w:rsidRPr="00637E8D">
        <w:rPr>
          <w:rFonts w:ascii="Times New Roman" w:eastAsia="標楷體" w:hAnsi="Times New Roman" w:cs="Times New Roman"/>
        </w:rPr>
        <w:t>(5%)</w:t>
      </w:r>
    </w:p>
    <w:p w:rsidR="00947BD7" w:rsidRPr="005F47C6" w:rsidRDefault="00637E8D" w:rsidP="005F47C6">
      <w:pPr>
        <w:pStyle w:val="a7"/>
        <w:ind w:left="840" w:hangingChars="150" w:hanging="36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(6</w:t>
      </w:r>
      <w:r w:rsidRPr="00637E8D">
        <w:rPr>
          <w:rFonts w:ascii="Times New Roman" w:eastAsia="標楷體" w:hAnsi="Times New Roman" w:cs="Times New Roman"/>
        </w:rPr>
        <w:t xml:space="preserve">). Determine the machine's </w:t>
      </w:r>
      <w:r w:rsidR="00947BD7">
        <w:rPr>
          <w:rFonts w:ascii="Times New Roman" w:eastAsia="標楷體" w:hAnsi="Times New Roman" w:cs="Times New Roman"/>
        </w:rPr>
        <w:t>first</w:t>
      </w:r>
      <w:r w:rsidRPr="00637E8D">
        <w:rPr>
          <w:rFonts w:ascii="Times New Roman" w:eastAsia="標楷體" w:hAnsi="Times New Roman" w:cs="Times New Roman"/>
        </w:rPr>
        <w:t>-year depreciation using the double-declining-balance method.</w:t>
      </w:r>
      <w:r w:rsidRPr="00637E8D">
        <w:t xml:space="preserve"> </w:t>
      </w:r>
      <w:r w:rsidRPr="00637E8D">
        <w:rPr>
          <w:rFonts w:ascii="Times New Roman" w:eastAsia="標楷體" w:hAnsi="Times New Roman" w:cs="Times New Roman"/>
        </w:rPr>
        <w:t>(5%)</w:t>
      </w:r>
    </w:p>
    <w:p w:rsidR="00F4139C" w:rsidRDefault="00947BD7" w:rsidP="00947BD7">
      <w:pPr>
        <w:pStyle w:val="a7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947BD7">
        <w:rPr>
          <w:rFonts w:ascii="Times New Roman" w:eastAsia="標楷體" w:hAnsi="Times New Roman" w:cs="Times New Roman"/>
        </w:rPr>
        <w:lastRenderedPageBreak/>
        <w:t xml:space="preserve">Finesse Co. purchases and installs a machine on January 1, 2011, at a total cost of $92,750. Straight-line depreciation is taken each year for four years assuming a seven-year life and no residual value. The machine is disposed of on July 1, 2015, during its fifth year of service. </w:t>
      </w:r>
    </w:p>
    <w:p w:rsidR="00F4139C" w:rsidRPr="00F4139C" w:rsidRDefault="00947BD7" w:rsidP="00F4139C">
      <w:pPr>
        <w:pStyle w:val="a7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</w:rPr>
      </w:pPr>
      <w:r w:rsidRPr="00F4139C">
        <w:rPr>
          <w:rFonts w:ascii="Times New Roman" w:eastAsia="標楷體" w:hAnsi="Times New Roman" w:cs="Times New Roman"/>
        </w:rPr>
        <w:t>Prepare entries to record the partial year</w:t>
      </w:r>
      <w:r w:rsidR="00F4139C" w:rsidRPr="00F4139C">
        <w:rPr>
          <w:rFonts w:ascii="Times New Roman" w:eastAsia="標楷體" w:hAnsi="Times New Roman" w:cs="Times New Roman"/>
        </w:rPr>
        <w:t>'s depreciation on July 1, 2015.</w:t>
      </w:r>
      <w:r w:rsidR="00F4139C">
        <w:rPr>
          <w:rFonts w:ascii="Times New Roman" w:eastAsia="標楷體" w:hAnsi="Times New Roman" w:cs="Times New Roman"/>
        </w:rPr>
        <w:t xml:space="preserve"> (5%)</w:t>
      </w:r>
      <w:r w:rsidRPr="00F4139C">
        <w:rPr>
          <w:rFonts w:ascii="Times New Roman" w:eastAsia="標楷體" w:hAnsi="Times New Roman" w:cs="Times New Roman"/>
        </w:rPr>
        <w:t xml:space="preserve"> </w:t>
      </w:r>
    </w:p>
    <w:p w:rsidR="00947BD7" w:rsidRPr="00F4139C" w:rsidRDefault="00F4139C" w:rsidP="00F4139C">
      <w:pPr>
        <w:pStyle w:val="a7"/>
        <w:ind w:leftChars="0" w:left="840"/>
        <w:jc w:val="both"/>
        <w:rPr>
          <w:rFonts w:ascii="Times New Roman" w:eastAsia="標楷體" w:hAnsi="Times New Roman" w:cs="Times New Roman"/>
        </w:rPr>
      </w:pPr>
      <w:r w:rsidRPr="00F4139C">
        <w:rPr>
          <w:rFonts w:ascii="Times New Roman" w:eastAsia="標楷體" w:hAnsi="Times New Roman" w:cs="Times New Roman"/>
        </w:rPr>
        <w:t>T</w:t>
      </w:r>
      <w:r w:rsidR="00947BD7" w:rsidRPr="00F4139C">
        <w:rPr>
          <w:rFonts w:ascii="Times New Roman" w:eastAsia="標楷體" w:hAnsi="Times New Roman" w:cs="Times New Roman"/>
        </w:rPr>
        <w:t xml:space="preserve">o record the disposal under the following separate assumptions: </w:t>
      </w:r>
    </w:p>
    <w:p w:rsidR="00947BD7" w:rsidRDefault="00F4139C" w:rsidP="00947BD7">
      <w:pPr>
        <w:ind w:left="48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(2</w:t>
      </w:r>
      <w:r w:rsidR="00947BD7" w:rsidRPr="00947BD7">
        <w:rPr>
          <w:rFonts w:ascii="Times New Roman" w:eastAsia="標楷體" w:hAnsi="Times New Roman" w:cs="Times New Roman"/>
        </w:rPr>
        <w:t xml:space="preserve">) </w:t>
      </w:r>
      <w:r w:rsidR="00947BD7">
        <w:rPr>
          <w:rFonts w:ascii="Times New Roman" w:eastAsia="標楷體" w:hAnsi="Times New Roman" w:cs="Times New Roman"/>
        </w:rPr>
        <w:t>M</w:t>
      </w:r>
      <w:r w:rsidR="00947BD7" w:rsidRPr="00947BD7">
        <w:rPr>
          <w:rFonts w:ascii="Times New Roman" w:eastAsia="標楷體" w:hAnsi="Times New Roman" w:cs="Times New Roman"/>
        </w:rPr>
        <w:t>achine is sold for $35,000 cash</w:t>
      </w:r>
      <w:r w:rsidR="00947BD7">
        <w:rPr>
          <w:rFonts w:ascii="Times New Roman" w:eastAsia="標楷體" w:hAnsi="Times New Roman" w:cs="Times New Roman"/>
        </w:rPr>
        <w:t>. (5%)</w:t>
      </w:r>
    </w:p>
    <w:p w:rsidR="00947BD7" w:rsidRDefault="00F4139C" w:rsidP="00947BD7">
      <w:pPr>
        <w:ind w:leftChars="50" w:left="120" w:firstLineChars="150" w:firstLine="36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(3</w:t>
      </w:r>
      <w:r w:rsidR="00947BD7" w:rsidRPr="00947BD7">
        <w:rPr>
          <w:rFonts w:ascii="Times New Roman" w:eastAsia="標楷體" w:hAnsi="Times New Roman" w:cs="Times New Roman"/>
        </w:rPr>
        <w:t xml:space="preserve">) Finesse receives an insurance settlement of $30,000 resulting from the total </w:t>
      </w:r>
    </w:p>
    <w:p w:rsidR="00947BD7" w:rsidRPr="00947BD7" w:rsidRDefault="00947BD7" w:rsidP="00947BD7">
      <w:pPr>
        <w:ind w:leftChars="50" w:left="120" w:firstLineChars="300" w:firstLine="720"/>
        <w:jc w:val="both"/>
        <w:rPr>
          <w:rFonts w:ascii="Times New Roman" w:eastAsia="標楷體" w:hAnsi="Times New Roman" w:cs="Times New Roman"/>
        </w:rPr>
      </w:pPr>
      <w:proofErr w:type="gramStart"/>
      <w:r w:rsidRPr="00947BD7">
        <w:rPr>
          <w:rFonts w:ascii="Times New Roman" w:eastAsia="標楷體" w:hAnsi="Times New Roman" w:cs="Times New Roman"/>
        </w:rPr>
        <w:t>destruction</w:t>
      </w:r>
      <w:proofErr w:type="gramEnd"/>
      <w:r w:rsidRPr="00947BD7">
        <w:rPr>
          <w:rFonts w:ascii="Times New Roman" w:eastAsia="標楷體" w:hAnsi="Times New Roman" w:cs="Times New Roman"/>
        </w:rPr>
        <w:t xml:space="preserve"> of the machine in a fire.</w:t>
      </w:r>
      <w:r>
        <w:rPr>
          <w:rFonts w:ascii="Times New Roman" w:eastAsia="標楷體" w:hAnsi="Times New Roman" w:cs="Times New Roman"/>
        </w:rPr>
        <w:t xml:space="preserve"> (5%)</w:t>
      </w:r>
    </w:p>
    <w:p w:rsidR="00947BD7" w:rsidRDefault="00947BD7" w:rsidP="00947BD7">
      <w:pPr>
        <w:pStyle w:val="a7"/>
        <w:ind w:leftChars="0" w:left="840"/>
        <w:jc w:val="both"/>
        <w:rPr>
          <w:rFonts w:ascii="Times New Roman" w:eastAsia="標楷體" w:hAnsi="Times New Roman" w:cs="Times New Roman"/>
        </w:rPr>
      </w:pPr>
    </w:p>
    <w:p w:rsidR="00947BD7" w:rsidRDefault="000C49B5" w:rsidP="000C49B5">
      <w:pPr>
        <w:pStyle w:val="a7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A</w:t>
      </w:r>
      <w:r>
        <w:rPr>
          <w:rFonts w:ascii="Times New Roman" w:eastAsia="標楷體" w:hAnsi="Times New Roman" w:cs="Times New Roman"/>
        </w:rPr>
        <w:t>t year-end, equipment with a cost of $100,000 and accumulated depreciation of $40,000 (adjusted to end of year) has been revalued to its fair value of $90,000.</w:t>
      </w:r>
    </w:p>
    <w:p w:rsidR="000C49B5" w:rsidRDefault="000C49B5" w:rsidP="00114054">
      <w:pPr>
        <w:pStyle w:val="a7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</w:rPr>
      </w:pPr>
      <w:r w:rsidRPr="00114054">
        <w:rPr>
          <w:rFonts w:ascii="Times New Roman" w:eastAsia="標楷體" w:hAnsi="Times New Roman" w:cs="Times New Roman"/>
        </w:rPr>
        <w:t>Record the journal entry for the revaluation of the equipment, by r</w:t>
      </w:r>
      <w:r w:rsidR="00114054" w:rsidRPr="00114054">
        <w:rPr>
          <w:rFonts w:ascii="Times New Roman" w:eastAsia="標楷體" w:hAnsi="Times New Roman" w:cs="Times New Roman"/>
        </w:rPr>
        <w:t>estating</w:t>
      </w:r>
      <w:r w:rsidRPr="00114054">
        <w:rPr>
          <w:rFonts w:ascii="Times New Roman" w:eastAsia="標楷體" w:hAnsi="Times New Roman" w:cs="Times New Roman"/>
        </w:rPr>
        <w:t xml:space="preserve"> accumulated depreciation proportionately with the change in the gross carrying amount of the asset so that the carrying amount of the asset after revaluation equals its revalued amount</w:t>
      </w:r>
      <w:r w:rsidR="00114054">
        <w:rPr>
          <w:rFonts w:ascii="Times New Roman" w:eastAsia="標楷體" w:hAnsi="Times New Roman" w:cs="Times New Roman"/>
        </w:rPr>
        <w:t>.</w:t>
      </w:r>
      <w:r w:rsidR="00114054" w:rsidRPr="00114054">
        <w:t xml:space="preserve"> </w:t>
      </w:r>
      <w:r w:rsidR="00114054" w:rsidRPr="00114054">
        <w:rPr>
          <w:rFonts w:ascii="Times New Roman" w:eastAsia="標楷體" w:hAnsi="Times New Roman" w:cs="Times New Roman"/>
        </w:rPr>
        <w:t>(5%)</w:t>
      </w:r>
    </w:p>
    <w:p w:rsidR="00114054" w:rsidRDefault="00114054" w:rsidP="00114054">
      <w:pPr>
        <w:pStyle w:val="a7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</w:rPr>
      </w:pPr>
      <w:r w:rsidRPr="00114054">
        <w:rPr>
          <w:rFonts w:ascii="Times New Roman" w:eastAsia="標楷體" w:hAnsi="Times New Roman" w:cs="Times New Roman"/>
        </w:rPr>
        <w:t xml:space="preserve">Record the journal entry for the revaluation of the equipment, by </w:t>
      </w:r>
      <w:r>
        <w:rPr>
          <w:rFonts w:ascii="Times New Roman" w:eastAsia="標楷體" w:hAnsi="Times New Roman" w:cs="Times New Roman"/>
        </w:rPr>
        <w:t>eliminating</w:t>
      </w:r>
      <w:r w:rsidRPr="00114054">
        <w:rPr>
          <w:rFonts w:ascii="Times New Roman" w:eastAsia="標楷體" w:hAnsi="Times New Roman" w:cs="Times New Roman"/>
        </w:rPr>
        <w:t xml:space="preserve"> accumulated depreciation against the gross carrying amount of the asset and the net amount restated to the revalued amount of the asset</w:t>
      </w:r>
      <w:r>
        <w:rPr>
          <w:rFonts w:ascii="Times New Roman" w:eastAsia="標楷體" w:hAnsi="Times New Roman" w:cs="Times New Roman"/>
        </w:rPr>
        <w:t>.</w:t>
      </w:r>
      <w:r w:rsidRPr="00114054">
        <w:t xml:space="preserve"> </w:t>
      </w:r>
      <w:r w:rsidRPr="00114054">
        <w:rPr>
          <w:rFonts w:ascii="Times New Roman" w:eastAsia="標楷體" w:hAnsi="Times New Roman" w:cs="Times New Roman"/>
        </w:rPr>
        <w:t>(5%)</w:t>
      </w:r>
    </w:p>
    <w:p w:rsidR="005F47C6" w:rsidRPr="00114054" w:rsidRDefault="005F47C6" w:rsidP="005F47C6">
      <w:pPr>
        <w:pStyle w:val="a7"/>
        <w:ind w:leftChars="0" w:left="840"/>
        <w:jc w:val="both"/>
        <w:rPr>
          <w:rFonts w:ascii="Times New Roman" w:eastAsia="標楷體" w:hAnsi="Times New Roman" w:cs="Times New Roman"/>
        </w:rPr>
      </w:pPr>
    </w:p>
    <w:p w:rsidR="000C49B5" w:rsidRPr="000C49B5" w:rsidRDefault="005F47C6" w:rsidP="000C49B5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*Certification Choices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/>
        </w:rPr>
        <w:t>each item 2 %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/>
        </w:rPr>
        <w:t>-</w:t>
      </w:r>
      <w:r w:rsidRPr="005F47C6">
        <w:rPr>
          <w:rFonts w:ascii="Times New Roman" w:eastAsia="標楷體" w:hAnsi="Times New Roman" w:cs="Times New Roman"/>
        </w:rPr>
        <w:t>You must write your calculation, if needs.</w:t>
      </w:r>
    </w:p>
    <w:p w:rsidR="00B83A07" w:rsidRDefault="00E076F8" w:rsidP="004911BF">
      <w:pPr>
        <w:pStyle w:val="a7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</w:rPr>
      </w:pPr>
      <w:r w:rsidRPr="00024B55">
        <w:rPr>
          <w:rFonts w:ascii="Times New Roman" w:eastAsia="標楷體" w:hAnsi="Times New Roman" w:cs="Times New Roman"/>
        </w:rPr>
        <w:t>以</w:t>
      </w:r>
      <w:proofErr w:type="gramStart"/>
      <w:r w:rsidRPr="00024B55">
        <w:rPr>
          <w:rFonts w:ascii="Times New Roman" w:eastAsia="標楷體" w:hAnsi="Times New Roman" w:cs="Times New Roman"/>
        </w:rPr>
        <w:t>帳面</w:t>
      </w:r>
      <w:proofErr w:type="gramEnd"/>
      <w:r w:rsidRPr="00024B55">
        <w:rPr>
          <w:rFonts w:ascii="Times New Roman" w:eastAsia="標楷體" w:hAnsi="Times New Roman" w:cs="Times New Roman"/>
        </w:rPr>
        <w:t>金額</w:t>
      </w:r>
      <w:r w:rsidRPr="00024B55">
        <w:rPr>
          <w:rFonts w:ascii="Times New Roman" w:eastAsia="標楷體" w:hAnsi="Times New Roman" w:cs="Times New Roman"/>
        </w:rPr>
        <w:t>$600,000</w:t>
      </w:r>
      <w:r w:rsidRPr="00024B55">
        <w:rPr>
          <w:rFonts w:ascii="Times New Roman" w:eastAsia="標楷體" w:hAnsi="Times New Roman" w:cs="Times New Roman"/>
        </w:rPr>
        <w:t>之國產汽車交換公允價值</w:t>
      </w:r>
      <w:r w:rsidRPr="00024B55">
        <w:rPr>
          <w:rFonts w:ascii="Times New Roman" w:eastAsia="標楷體" w:hAnsi="Times New Roman" w:cs="Times New Roman"/>
        </w:rPr>
        <w:t>$920,000</w:t>
      </w:r>
      <w:r w:rsidRPr="00024B55">
        <w:rPr>
          <w:rFonts w:ascii="Times New Roman" w:eastAsia="標楷體" w:hAnsi="Times New Roman" w:cs="Times New Roman"/>
        </w:rPr>
        <w:t>之進口汽車，並支付現金</w:t>
      </w:r>
      <w:r w:rsidRPr="00024B55">
        <w:rPr>
          <w:rFonts w:ascii="Times New Roman" w:eastAsia="標楷體" w:hAnsi="Times New Roman" w:cs="Times New Roman"/>
        </w:rPr>
        <w:t>$300,000</w:t>
      </w:r>
      <w:r w:rsidRPr="00024B55">
        <w:rPr>
          <w:rFonts w:ascii="Times New Roman" w:eastAsia="標楷體" w:hAnsi="Times New Roman" w:cs="Times New Roman"/>
        </w:rPr>
        <w:t>，若此項交易不具商業實質，則進口汽車之</w:t>
      </w:r>
      <w:proofErr w:type="gramStart"/>
      <w:r w:rsidRPr="00024B55">
        <w:rPr>
          <w:rFonts w:ascii="Times New Roman" w:eastAsia="標楷體" w:hAnsi="Times New Roman" w:cs="Times New Roman"/>
        </w:rPr>
        <w:t>入帳</w:t>
      </w:r>
      <w:proofErr w:type="gramEnd"/>
      <w:r w:rsidRPr="00024B55">
        <w:rPr>
          <w:rFonts w:ascii="Times New Roman" w:eastAsia="標楷體" w:hAnsi="Times New Roman" w:cs="Times New Roman"/>
        </w:rPr>
        <w:t>金額為若干？</w:t>
      </w:r>
      <w:r w:rsidRPr="005F47C6">
        <w:rPr>
          <w:rFonts w:ascii="Times New Roman" w:eastAsia="標楷體" w:hAnsi="Times New Roman" w:cs="Times New Roman"/>
        </w:rPr>
        <w:t>(A)$920,000 (B)$900,000 (C)$600,000 (D)</w:t>
      </w:r>
      <w:r w:rsidRPr="005F47C6">
        <w:rPr>
          <w:rFonts w:ascii="Times New Roman" w:eastAsia="標楷體" w:hAnsi="Times New Roman" w:cs="Times New Roman"/>
        </w:rPr>
        <w:t>選項</w:t>
      </w:r>
      <w:r w:rsidRPr="005F47C6">
        <w:rPr>
          <w:rFonts w:ascii="Times New Roman" w:eastAsia="標楷體" w:hAnsi="Times New Roman" w:cs="Times New Roman"/>
        </w:rPr>
        <w:t>(A)(B)(C)</w:t>
      </w:r>
      <w:r w:rsidRPr="005F47C6">
        <w:rPr>
          <w:rFonts w:ascii="Times New Roman" w:eastAsia="標楷體" w:hAnsi="Times New Roman" w:cs="Times New Roman"/>
        </w:rPr>
        <w:t>皆非</w:t>
      </w:r>
    </w:p>
    <w:p w:rsidR="00E076F8" w:rsidRDefault="00E076F8" w:rsidP="004911BF">
      <w:pPr>
        <w:pStyle w:val="a7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</w:rPr>
      </w:pPr>
      <w:r w:rsidRPr="005F47C6">
        <w:rPr>
          <w:rFonts w:ascii="Times New Roman" w:eastAsia="標楷體" w:hAnsi="Times New Roman" w:cs="Times New Roman"/>
        </w:rPr>
        <w:t>下列敘述，何者正確？</w:t>
      </w:r>
      <w:r w:rsidRPr="005F47C6">
        <w:rPr>
          <w:rFonts w:ascii="Times New Roman" w:eastAsia="標楷體" w:hAnsi="Times New Roman" w:cs="Times New Roman"/>
        </w:rPr>
        <w:t>(A)</w:t>
      </w:r>
      <w:r w:rsidRPr="005F47C6">
        <w:rPr>
          <w:rFonts w:ascii="Times New Roman" w:eastAsia="標楷體" w:hAnsi="Times New Roman" w:cs="Times New Roman"/>
        </w:rPr>
        <w:t>土地改良物不需要折舊</w:t>
      </w:r>
      <w:r w:rsidR="0037381B" w:rsidRPr="005F47C6">
        <w:rPr>
          <w:rFonts w:ascii="Times New Roman" w:eastAsia="標楷體" w:hAnsi="Times New Roman" w:cs="Times New Roman"/>
        </w:rPr>
        <w:t xml:space="preserve"> </w:t>
      </w:r>
      <w:r w:rsidRPr="005F47C6">
        <w:rPr>
          <w:rFonts w:ascii="Times New Roman" w:eastAsia="標楷體" w:hAnsi="Times New Roman" w:cs="Times New Roman"/>
        </w:rPr>
        <w:t>(B)</w:t>
      </w:r>
      <w:r w:rsidRPr="005F47C6">
        <w:rPr>
          <w:rFonts w:ascii="Times New Roman" w:eastAsia="標楷體" w:hAnsi="Times New Roman" w:cs="Times New Roman"/>
        </w:rPr>
        <w:t>企業之商譽，需要攤銷也需要減損測試</w:t>
      </w:r>
      <w:r w:rsidR="0037381B" w:rsidRPr="005F47C6">
        <w:rPr>
          <w:rFonts w:ascii="Times New Roman" w:eastAsia="標楷體" w:hAnsi="Times New Roman" w:cs="Times New Roman"/>
        </w:rPr>
        <w:t xml:space="preserve"> </w:t>
      </w:r>
      <w:r w:rsidRPr="005F47C6">
        <w:rPr>
          <w:rFonts w:ascii="Times New Roman" w:eastAsia="標楷體" w:hAnsi="Times New Roman" w:cs="Times New Roman"/>
        </w:rPr>
        <w:t>(C)</w:t>
      </w:r>
      <w:r w:rsidRPr="005F47C6">
        <w:rPr>
          <w:rFonts w:ascii="Times New Roman" w:eastAsia="標楷體" w:hAnsi="Times New Roman" w:cs="Times New Roman"/>
        </w:rPr>
        <w:t>無形資產之攤銷，一般</w:t>
      </w:r>
      <w:proofErr w:type="gramStart"/>
      <w:r w:rsidRPr="005F47C6">
        <w:rPr>
          <w:rFonts w:ascii="Times New Roman" w:eastAsia="標楷體" w:hAnsi="Times New Roman" w:cs="Times New Roman"/>
        </w:rPr>
        <w:t>採</w:t>
      </w:r>
      <w:proofErr w:type="gramEnd"/>
      <w:r w:rsidRPr="005F47C6">
        <w:rPr>
          <w:rFonts w:ascii="Times New Roman" w:eastAsia="標楷體" w:hAnsi="Times New Roman" w:cs="Times New Roman"/>
        </w:rPr>
        <w:t>直線法</w:t>
      </w:r>
      <w:r w:rsidR="0037381B" w:rsidRPr="005F47C6">
        <w:rPr>
          <w:rFonts w:ascii="Times New Roman" w:eastAsia="標楷體" w:hAnsi="Times New Roman" w:cs="Times New Roman"/>
        </w:rPr>
        <w:t xml:space="preserve"> </w:t>
      </w:r>
      <w:r w:rsidRPr="005F47C6">
        <w:rPr>
          <w:rFonts w:ascii="Times New Roman" w:eastAsia="標楷體" w:hAnsi="Times New Roman" w:cs="Times New Roman"/>
        </w:rPr>
        <w:t>(D)</w:t>
      </w:r>
      <w:r w:rsidRPr="005F47C6">
        <w:rPr>
          <w:rFonts w:ascii="Times New Roman" w:eastAsia="標楷體" w:hAnsi="Times New Roman" w:cs="Times New Roman"/>
        </w:rPr>
        <w:t>因專利權與人訴訟，如為勝訴，訴訟費應資本化</w:t>
      </w:r>
    </w:p>
    <w:p w:rsidR="00E076F8" w:rsidRDefault="004911BF" w:rsidP="005F47C6">
      <w:pPr>
        <w:pStyle w:val="a7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</w:rPr>
      </w:pPr>
      <w:r w:rsidRPr="005F47C6">
        <w:rPr>
          <w:rFonts w:ascii="Times New Roman" w:eastAsia="標楷體" w:hAnsi="Times New Roman" w:cs="Times New Roman"/>
        </w:rPr>
        <w:t>下列那一種行業的總資產週轉率</w:t>
      </w:r>
      <w:r w:rsidRPr="005F47C6">
        <w:rPr>
          <w:rFonts w:ascii="Times New Roman" w:eastAsia="標楷體" w:hAnsi="Times New Roman" w:cs="Times New Roman"/>
        </w:rPr>
        <w:t>(Total asset turnover</w:t>
      </w:r>
      <w:r w:rsidR="00A62E52">
        <w:rPr>
          <w:rFonts w:ascii="Times New Roman" w:eastAsia="標楷體" w:hAnsi="Times New Roman" w:cs="Times New Roman"/>
        </w:rPr>
        <w:t>, net sales/average total assets</w:t>
      </w:r>
      <w:bookmarkStart w:id="0" w:name="_GoBack"/>
      <w:bookmarkEnd w:id="0"/>
      <w:r w:rsidRPr="005F47C6">
        <w:rPr>
          <w:rFonts w:ascii="Times New Roman" w:eastAsia="標楷體" w:hAnsi="Times New Roman" w:cs="Times New Roman"/>
        </w:rPr>
        <w:t>)</w:t>
      </w:r>
      <w:r w:rsidRPr="005F47C6">
        <w:rPr>
          <w:rFonts w:ascii="Times New Roman" w:eastAsia="標楷體" w:hAnsi="Times New Roman" w:cs="Times New Roman"/>
        </w:rPr>
        <w:t>通常會較高？</w:t>
      </w:r>
      <w:r w:rsidRPr="005F47C6">
        <w:rPr>
          <w:rFonts w:ascii="Times New Roman" w:eastAsia="標楷體" w:hAnsi="Times New Roman" w:cs="Times New Roman"/>
        </w:rPr>
        <w:t>(A)</w:t>
      </w:r>
      <w:r w:rsidRPr="005F47C6">
        <w:rPr>
          <w:rFonts w:ascii="Times New Roman" w:eastAsia="標楷體" w:hAnsi="Times New Roman" w:cs="Times New Roman"/>
        </w:rPr>
        <w:t>生化製藥業</w:t>
      </w:r>
      <w:r w:rsidRPr="005F47C6">
        <w:rPr>
          <w:rFonts w:ascii="Times New Roman" w:eastAsia="標楷體" w:hAnsi="Times New Roman" w:cs="Times New Roman"/>
        </w:rPr>
        <w:t xml:space="preserve"> (B)</w:t>
      </w:r>
      <w:r w:rsidRPr="005F47C6">
        <w:rPr>
          <w:rFonts w:ascii="Times New Roman" w:eastAsia="標楷體" w:hAnsi="Times New Roman" w:cs="Times New Roman"/>
        </w:rPr>
        <w:t>電子業</w:t>
      </w:r>
      <w:r w:rsidRPr="005F47C6">
        <w:rPr>
          <w:rFonts w:ascii="Times New Roman" w:eastAsia="標楷體" w:hAnsi="Times New Roman" w:cs="Times New Roman"/>
        </w:rPr>
        <w:t xml:space="preserve"> (C)</w:t>
      </w:r>
      <w:r w:rsidRPr="005F47C6">
        <w:rPr>
          <w:rFonts w:ascii="Times New Roman" w:eastAsia="標楷體" w:hAnsi="Times New Roman" w:cs="Times New Roman"/>
        </w:rPr>
        <w:t>石油化學工業</w:t>
      </w:r>
      <w:r w:rsidRPr="005F47C6">
        <w:rPr>
          <w:rFonts w:ascii="Times New Roman" w:eastAsia="標楷體" w:hAnsi="Times New Roman" w:cs="Times New Roman"/>
        </w:rPr>
        <w:t xml:space="preserve"> (D)</w:t>
      </w:r>
      <w:r w:rsidRPr="005F47C6">
        <w:rPr>
          <w:rFonts w:ascii="Times New Roman" w:eastAsia="標楷體" w:hAnsi="Times New Roman" w:cs="Times New Roman"/>
        </w:rPr>
        <w:t>連鎖速食店</w:t>
      </w:r>
    </w:p>
    <w:p w:rsidR="004911BF" w:rsidRDefault="004911BF" w:rsidP="005F47C6">
      <w:pPr>
        <w:pStyle w:val="a7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</w:rPr>
      </w:pPr>
      <w:r w:rsidRPr="005F47C6">
        <w:rPr>
          <w:rFonts w:ascii="Times New Roman" w:eastAsia="標楷體" w:hAnsi="Times New Roman" w:cs="Times New Roman"/>
        </w:rPr>
        <w:t>玉山公司</w:t>
      </w:r>
      <w:proofErr w:type="gramStart"/>
      <w:r w:rsidRPr="005F47C6">
        <w:rPr>
          <w:rFonts w:ascii="Times New Roman" w:eastAsia="標楷體" w:hAnsi="Times New Roman" w:cs="Times New Roman"/>
        </w:rPr>
        <w:t>101</w:t>
      </w:r>
      <w:proofErr w:type="gramEnd"/>
      <w:r w:rsidRPr="005F47C6">
        <w:rPr>
          <w:rFonts w:ascii="Times New Roman" w:eastAsia="標楷體" w:hAnsi="Times New Roman" w:cs="Times New Roman"/>
        </w:rPr>
        <w:t>年度平均股東權益</w:t>
      </w:r>
      <w:r w:rsidRPr="005F47C6">
        <w:rPr>
          <w:rFonts w:ascii="Times New Roman" w:eastAsia="標楷體" w:hAnsi="Times New Roman" w:cs="Times New Roman"/>
        </w:rPr>
        <w:t>$200,000</w:t>
      </w:r>
      <w:r w:rsidRPr="005F47C6">
        <w:rPr>
          <w:rFonts w:ascii="Times New Roman" w:eastAsia="標楷體" w:hAnsi="Times New Roman" w:cs="Times New Roman"/>
        </w:rPr>
        <w:t>，平均負債</w:t>
      </w:r>
      <w:r w:rsidRPr="005F47C6">
        <w:rPr>
          <w:rFonts w:ascii="Times New Roman" w:eastAsia="標楷體" w:hAnsi="Times New Roman" w:cs="Times New Roman"/>
        </w:rPr>
        <w:t>$200,000</w:t>
      </w:r>
      <w:r w:rsidRPr="005F47C6">
        <w:rPr>
          <w:rFonts w:ascii="Times New Roman" w:eastAsia="標楷體" w:hAnsi="Times New Roman" w:cs="Times New Roman"/>
        </w:rPr>
        <w:t>，銷貨</w:t>
      </w:r>
      <w:r w:rsidRPr="005F47C6">
        <w:rPr>
          <w:rFonts w:ascii="Times New Roman" w:eastAsia="標楷體" w:hAnsi="Times New Roman" w:cs="Times New Roman"/>
        </w:rPr>
        <w:t>$1,000,000</w:t>
      </w:r>
      <w:r w:rsidRPr="005F47C6">
        <w:rPr>
          <w:rFonts w:ascii="Times New Roman" w:eastAsia="標楷體" w:hAnsi="Times New Roman" w:cs="Times New Roman"/>
        </w:rPr>
        <w:t>，其淨利</w:t>
      </w:r>
      <w:r w:rsidRPr="005F47C6">
        <w:rPr>
          <w:rFonts w:ascii="Times New Roman" w:eastAsia="標楷體" w:hAnsi="Times New Roman" w:cs="Times New Roman"/>
        </w:rPr>
        <w:t>$50,000</w:t>
      </w:r>
      <w:r w:rsidRPr="005F47C6">
        <w:rPr>
          <w:rFonts w:ascii="Times New Roman" w:eastAsia="標楷體" w:hAnsi="Times New Roman" w:cs="Times New Roman"/>
        </w:rPr>
        <w:t>，負債利息</w:t>
      </w:r>
      <w:r w:rsidRPr="005F47C6">
        <w:rPr>
          <w:rFonts w:ascii="Times New Roman" w:eastAsia="標楷體" w:hAnsi="Times New Roman" w:cs="Times New Roman"/>
        </w:rPr>
        <w:t>$10,000</w:t>
      </w:r>
      <w:r w:rsidRPr="005F47C6">
        <w:rPr>
          <w:rFonts w:ascii="Times New Roman" w:eastAsia="標楷體" w:hAnsi="Times New Roman" w:cs="Times New Roman"/>
        </w:rPr>
        <w:t>，稅率</w:t>
      </w:r>
      <w:r w:rsidRPr="005F47C6">
        <w:rPr>
          <w:rFonts w:ascii="Times New Roman" w:eastAsia="標楷體" w:hAnsi="Times New Roman" w:cs="Times New Roman"/>
        </w:rPr>
        <w:t>10%</w:t>
      </w:r>
      <w:r w:rsidRPr="005F47C6">
        <w:rPr>
          <w:rFonts w:ascii="Times New Roman" w:eastAsia="標楷體" w:hAnsi="Times New Roman" w:cs="Times New Roman"/>
        </w:rPr>
        <w:t>，稅後純益率</w:t>
      </w:r>
      <w:r w:rsidRPr="005F47C6">
        <w:rPr>
          <w:rFonts w:ascii="Times New Roman" w:eastAsia="標楷體" w:hAnsi="Times New Roman" w:cs="Times New Roman"/>
        </w:rPr>
        <w:t>10%</w:t>
      </w:r>
      <w:r w:rsidRPr="005F47C6">
        <w:rPr>
          <w:rFonts w:ascii="Times New Roman" w:eastAsia="標楷體" w:hAnsi="Times New Roman" w:cs="Times New Roman"/>
        </w:rPr>
        <w:t>，則</w:t>
      </w:r>
      <w:r w:rsidRPr="005F47C6">
        <w:rPr>
          <w:rFonts w:ascii="Times New Roman" w:eastAsia="標楷體" w:hAnsi="Times New Roman" w:cs="Times New Roman"/>
        </w:rPr>
        <w:t>101</w:t>
      </w:r>
      <w:r w:rsidRPr="005F47C6">
        <w:rPr>
          <w:rFonts w:ascii="Times New Roman" w:eastAsia="標楷體" w:hAnsi="Times New Roman" w:cs="Times New Roman"/>
        </w:rPr>
        <w:t>年該公司總資產週轉率為何？</w:t>
      </w:r>
      <w:r w:rsidRPr="005F47C6">
        <w:rPr>
          <w:rFonts w:ascii="Times New Roman" w:eastAsia="標楷體" w:hAnsi="Times New Roman" w:cs="Times New Roman"/>
        </w:rPr>
        <w:t>(A)1.25 (B)2.5 (C)3 (D)5</w:t>
      </w:r>
    </w:p>
    <w:p w:rsidR="00E059D1" w:rsidRDefault="00E059D1" w:rsidP="005F47C6">
      <w:pPr>
        <w:pStyle w:val="a7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</w:rPr>
      </w:pPr>
      <w:r w:rsidRPr="005F47C6">
        <w:rPr>
          <w:rFonts w:ascii="Times New Roman" w:eastAsia="標楷體" w:hAnsi="Times New Roman" w:cs="Times New Roman"/>
        </w:rPr>
        <w:t>辦理折舊性資產重估價時後，將使：</w:t>
      </w:r>
      <w:r w:rsidRPr="005F47C6">
        <w:rPr>
          <w:rFonts w:ascii="Times New Roman" w:eastAsia="標楷體" w:hAnsi="Times New Roman" w:cs="Times New Roman"/>
        </w:rPr>
        <w:t>(A)</w:t>
      </w:r>
      <w:r w:rsidRPr="005F47C6">
        <w:rPr>
          <w:rFonts w:ascii="Times New Roman" w:eastAsia="標楷體" w:hAnsi="Times New Roman" w:cs="Times New Roman"/>
        </w:rPr>
        <w:t>資產不變，折舊費用增加</w:t>
      </w:r>
      <w:r w:rsidRPr="005F47C6">
        <w:rPr>
          <w:rFonts w:ascii="Times New Roman" w:eastAsia="標楷體" w:hAnsi="Times New Roman" w:cs="Times New Roman"/>
        </w:rPr>
        <w:t xml:space="preserve"> (B)</w:t>
      </w:r>
      <w:r w:rsidRPr="005F47C6">
        <w:rPr>
          <w:rFonts w:ascii="Times New Roman" w:eastAsia="標楷體" w:hAnsi="Times New Roman" w:cs="Times New Roman"/>
        </w:rPr>
        <w:t>資產及折舊費用增加</w:t>
      </w:r>
      <w:r w:rsidRPr="005F47C6">
        <w:rPr>
          <w:rFonts w:ascii="Times New Roman" w:eastAsia="標楷體" w:hAnsi="Times New Roman" w:cs="Times New Roman"/>
        </w:rPr>
        <w:t xml:space="preserve"> (C)</w:t>
      </w:r>
      <w:r w:rsidRPr="005F47C6">
        <w:rPr>
          <w:rFonts w:ascii="Times New Roman" w:eastAsia="標楷體" w:hAnsi="Times New Roman" w:cs="Times New Roman"/>
        </w:rPr>
        <w:t>資產增加，折舊費用不變</w:t>
      </w:r>
      <w:r w:rsidRPr="005F47C6">
        <w:rPr>
          <w:rFonts w:ascii="Times New Roman" w:eastAsia="標楷體" w:hAnsi="Times New Roman" w:cs="Times New Roman"/>
        </w:rPr>
        <w:t xml:space="preserve"> (D)</w:t>
      </w:r>
      <w:r w:rsidRPr="005F47C6">
        <w:rPr>
          <w:rFonts w:ascii="Times New Roman" w:eastAsia="標楷體" w:hAnsi="Times New Roman" w:cs="Times New Roman"/>
        </w:rPr>
        <w:t>資產及折舊費用均不變</w:t>
      </w:r>
    </w:p>
    <w:p w:rsidR="00E059D1" w:rsidRDefault="00E059D1" w:rsidP="00E059D1">
      <w:pPr>
        <w:pStyle w:val="a7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</w:rPr>
      </w:pPr>
      <w:r w:rsidRPr="005F47C6">
        <w:rPr>
          <w:rFonts w:ascii="Times New Roman" w:eastAsia="標楷體" w:hAnsi="Times New Roman" w:cs="Times New Roman"/>
        </w:rPr>
        <w:t>將一項利息收入誤列為營業收入，將使當期淨利：</w:t>
      </w:r>
      <w:r w:rsidRPr="005F47C6">
        <w:rPr>
          <w:rFonts w:ascii="Times New Roman" w:eastAsia="標楷體" w:hAnsi="Times New Roman" w:cs="Times New Roman"/>
        </w:rPr>
        <w:t>(A)</w:t>
      </w:r>
      <w:r w:rsidRPr="005F47C6">
        <w:rPr>
          <w:rFonts w:ascii="Times New Roman" w:eastAsia="標楷體" w:hAnsi="Times New Roman" w:cs="Times New Roman"/>
        </w:rPr>
        <w:t>虛增</w:t>
      </w:r>
      <w:r w:rsidRPr="005F47C6">
        <w:rPr>
          <w:rFonts w:ascii="Times New Roman" w:eastAsia="標楷體" w:hAnsi="Times New Roman" w:cs="Times New Roman"/>
        </w:rPr>
        <w:t xml:space="preserve"> (B)</w:t>
      </w:r>
      <w:proofErr w:type="gramStart"/>
      <w:r w:rsidRPr="005F47C6">
        <w:rPr>
          <w:rFonts w:ascii="Times New Roman" w:eastAsia="標楷體" w:hAnsi="Times New Roman" w:cs="Times New Roman"/>
        </w:rPr>
        <w:t>虛減</w:t>
      </w:r>
      <w:proofErr w:type="gramEnd"/>
      <w:r w:rsidRPr="005F47C6">
        <w:rPr>
          <w:rFonts w:ascii="Times New Roman" w:eastAsia="標楷體" w:hAnsi="Times New Roman" w:cs="Times New Roman"/>
        </w:rPr>
        <w:t xml:space="preserve"> (C)</w:t>
      </w:r>
      <w:r w:rsidRPr="005F47C6">
        <w:rPr>
          <w:rFonts w:ascii="Times New Roman" w:eastAsia="標楷體" w:hAnsi="Times New Roman" w:cs="Times New Roman"/>
        </w:rPr>
        <w:lastRenderedPageBreak/>
        <w:t>不變</w:t>
      </w:r>
      <w:r w:rsidRPr="005F47C6">
        <w:rPr>
          <w:rFonts w:ascii="Times New Roman" w:eastAsia="標楷體" w:hAnsi="Times New Roman" w:cs="Times New Roman"/>
        </w:rPr>
        <w:t>(D)</w:t>
      </w:r>
      <w:r w:rsidRPr="005F47C6">
        <w:rPr>
          <w:rFonts w:ascii="Times New Roman" w:eastAsia="標楷體" w:hAnsi="Times New Roman" w:cs="Times New Roman"/>
        </w:rPr>
        <w:t>選項</w:t>
      </w:r>
      <w:r w:rsidRPr="005F47C6">
        <w:rPr>
          <w:rFonts w:ascii="Times New Roman" w:eastAsia="標楷體" w:hAnsi="Times New Roman" w:cs="Times New Roman"/>
        </w:rPr>
        <w:t>(A)(B)(C)</w:t>
      </w:r>
      <w:r w:rsidRPr="005F47C6">
        <w:rPr>
          <w:rFonts w:ascii="Times New Roman" w:eastAsia="標楷體" w:hAnsi="Times New Roman" w:cs="Times New Roman"/>
        </w:rPr>
        <w:t>皆非</w:t>
      </w:r>
    </w:p>
    <w:p w:rsidR="00E059D1" w:rsidRDefault="00E059D1" w:rsidP="00E059D1">
      <w:pPr>
        <w:pStyle w:val="a7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</w:rPr>
      </w:pPr>
      <w:r w:rsidRPr="005F47C6">
        <w:rPr>
          <w:rFonts w:ascii="Times New Roman" w:eastAsia="標楷體" w:hAnsi="Times New Roman" w:cs="Times New Roman"/>
        </w:rPr>
        <w:t>下列有關綜合損益表之表達，何者不正確？</w:t>
      </w:r>
      <w:r w:rsidRPr="005F47C6">
        <w:rPr>
          <w:rFonts w:ascii="Times New Roman" w:eastAsia="標楷體" w:hAnsi="Times New Roman" w:cs="Times New Roman"/>
        </w:rPr>
        <w:t>(A)</w:t>
      </w:r>
      <w:r w:rsidRPr="005F47C6">
        <w:rPr>
          <w:rFonts w:ascii="Times New Roman" w:eastAsia="標楷體" w:hAnsi="Times New Roman" w:cs="Times New Roman"/>
        </w:rPr>
        <w:t>應揭露稅後淨利</w:t>
      </w:r>
      <w:r w:rsidRPr="005F47C6">
        <w:rPr>
          <w:rFonts w:ascii="Times New Roman" w:eastAsia="標楷體" w:hAnsi="Times New Roman" w:cs="Times New Roman"/>
        </w:rPr>
        <w:t xml:space="preserve"> (B)</w:t>
      </w:r>
      <w:r w:rsidRPr="005F47C6">
        <w:rPr>
          <w:rFonts w:ascii="Times New Roman" w:eastAsia="標楷體" w:hAnsi="Times New Roman" w:cs="Times New Roman"/>
        </w:rPr>
        <w:t>原則上應以多站式方式表達</w:t>
      </w:r>
      <w:r w:rsidRPr="005F47C6">
        <w:rPr>
          <w:rFonts w:ascii="Times New Roman" w:eastAsia="標楷體" w:hAnsi="Times New Roman" w:cs="Times New Roman"/>
        </w:rPr>
        <w:t xml:space="preserve"> (C)</w:t>
      </w:r>
      <w:r w:rsidRPr="005F47C6">
        <w:rPr>
          <w:rFonts w:ascii="Times New Roman" w:eastAsia="標楷體" w:hAnsi="Times New Roman" w:cs="Times New Roman"/>
        </w:rPr>
        <w:t>公開發行公司應計算每股盈餘</w:t>
      </w:r>
      <w:r w:rsidRPr="005F47C6">
        <w:rPr>
          <w:rFonts w:ascii="Times New Roman" w:eastAsia="標楷體" w:hAnsi="Times New Roman" w:cs="Times New Roman"/>
        </w:rPr>
        <w:t xml:space="preserve"> (D)</w:t>
      </w:r>
      <w:r w:rsidRPr="005F47C6">
        <w:rPr>
          <w:rFonts w:ascii="Times New Roman" w:eastAsia="標楷體" w:hAnsi="Times New Roman" w:cs="Times New Roman"/>
        </w:rPr>
        <w:t>顯示特定期間之財務狀況</w:t>
      </w:r>
    </w:p>
    <w:p w:rsidR="005F47C6" w:rsidRDefault="000303B6" w:rsidP="000303B6">
      <w:pPr>
        <w:pStyle w:val="a7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</w:rPr>
      </w:pPr>
      <w:r w:rsidRPr="005F47C6">
        <w:rPr>
          <w:rFonts w:ascii="Times New Roman" w:eastAsia="標楷體" w:hAnsi="Times New Roman" w:cs="Times New Roman"/>
        </w:rPr>
        <w:t>水萱公司有一機器設備，成本為</w:t>
      </w:r>
      <w:r w:rsidRPr="005F47C6">
        <w:rPr>
          <w:rFonts w:ascii="Times New Roman" w:eastAsia="標楷體" w:hAnsi="Times New Roman" w:cs="Times New Roman"/>
        </w:rPr>
        <w:t>$10,000,000</w:t>
      </w:r>
      <w:r w:rsidRPr="005F47C6">
        <w:rPr>
          <w:rFonts w:ascii="Times New Roman" w:eastAsia="標楷體" w:hAnsi="Times New Roman" w:cs="Times New Roman"/>
        </w:rPr>
        <w:t>，原估計可用十年，殘值為零，按</w:t>
      </w:r>
      <w:proofErr w:type="gramStart"/>
      <w:r w:rsidRPr="005F47C6">
        <w:rPr>
          <w:rFonts w:ascii="Times New Roman" w:eastAsia="標楷體" w:hAnsi="Times New Roman" w:cs="Times New Roman"/>
        </w:rPr>
        <w:t>直線法提列</w:t>
      </w:r>
      <w:proofErr w:type="gramEnd"/>
      <w:r w:rsidRPr="005F47C6">
        <w:rPr>
          <w:rFonts w:ascii="Times New Roman" w:eastAsia="標楷體" w:hAnsi="Times New Roman" w:cs="Times New Roman"/>
        </w:rPr>
        <w:t>折舊，第六年初發現該設備可再使用六年，殘值為</w:t>
      </w:r>
      <w:r w:rsidRPr="005F47C6">
        <w:rPr>
          <w:rFonts w:ascii="Times New Roman" w:eastAsia="標楷體" w:hAnsi="Times New Roman" w:cs="Times New Roman"/>
        </w:rPr>
        <w:t>$200,000</w:t>
      </w:r>
      <w:r w:rsidRPr="005F47C6">
        <w:rPr>
          <w:rFonts w:ascii="Times New Roman" w:eastAsia="標楷體" w:hAnsi="Times New Roman" w:cs="Times New Roman"/>
        </w:rPr>
        <w:t>，則第六年的折舊費用應為多少？</w:t>
      </w:r>
      <w:r w:rsidRPr="005F47C6">
        <w:rPr>
          <w:rFonts w:ascii="Times New Roman" w:eastAsia="標楷體" w:hAnsi="Times New Roman" w:cs="Times New Roman"/>
        </w:rPr>
        <w:t>(A)$800,000 (B)$833,333 (C)$1,005,126</w:t>
      </w:r>
      <w:r w:rsidR="00024B55" w:rsidRPr="005F47C6">
        <w:rPr>
          <w:rFonts w:ascii="Times New Roman" w:eastAsia="標楷體" w:hAnsi="Times New Roman" w:cs="Times New Roman"/>
        </w:rPr>
        <w:t>(D)$1,333,333</w:t>
      </w:r>
      <w:r w:rsidR="00024B55" w:rsidRPr="005F47C6">
        <w:rPr>
          <w:rFonts w:ascii="Times New Roman" w:eastAsia="標楷體" w:hAnsi="Times New Roman" w:cs="Times New Roman" w:hint="eastAsia"/>
        </w:rPr>
        <w:t xml:space="preserve">  </w:t>
      </w:r>
    </w:p>
    <w:p w:rsidR="000303B6" w:rsidRDefault="00024B55" w:rsidP="000303B6">
      <w:pPr>
        <w:pStyle w:val="a7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</w:rPr>
      </w:pPr>
      <w:r w:rsidRPr="005F47C6">
        <w:rPr>
          <w:rFonts w:ascii="Times New Roman" w:eastAsia="標楷體" w:hAnsi="Times New Roman" w:cs="Times New Roman" w:hint="eastAsia"/>
        </w:rPr>
        <w:t xml:space="preserve"> </w:t>
      </w:r>
      <w:r w:rsidR="000303B6" w:rsidRPr="005F47C6">
        <w:rPr>
          <w:rFonts w:ascii="Times New Roman" w:eastAsia="標楷體" w:hAnsi="Times New Roman" w:cs="Times New Roman"/>
        </w:rPr>
        <w:t>雲</w:t>
      </w:r>
      <w:proofErr w:type="gramStart"/>
      <w:r w:rsidR="000303B6" w:rsidRPr="005F47C6">
        <w:rPr>
          <w:rFonts w:ascii="Times New Roman" w:eastAsia="標楷體" w:hAnsi="Times New Roman" w:cs="Times New Roman"/>
        </w:rPr>
        <w:t>霓</w:t>
      </w:r>
      <w:proofErr w:type="gramEnd"/>
      <w:r w:rsidR="000303B6" w:rsidRPr="005F47C6">
        <w:rPr>
          <w:rFonts w:ascii="Times New Roman" w:eastAsia="標楷體" w:hAnsi="Times New Roman" w:cs="Times New Roman"/>
        </w:rPr>
        <w:t>公司</w:t>
      </w:r>
      <w:r w:rsidR="000303B6" w:rsidRPr="005F47C6">
        <w:rPr>
          <w:rFonts w:ascii="Times New Roman" w:eastAsia="標楷體" w:hAnsi="Times New Roman" w:cs="Times New Roman"/>
        </w:rPr>
        <w:t>X1</w:t>
      </w:r>
      <w:r w:rsidR="000303B6" w:rsidRPr="005F47C6">
        <w:rPr>
          <w:rFonts w:ascii="Times New Roman" w:eastAsia="標楷體" w:hAnsi="Times New Roman" w:cs="Times New Roman"/>
        </w:rPr>
        <w:t>年底應收帳款餘額為</w:t>
      </w:r>
      <w:r w:rsidR="000303B6" w:rsidRPr="005F47C6">
        <w:rPr>
          <w:rFonts w:ascii="Times New Roman" w:eastAsia="標楷體" w:hAnsi="Times New Roman" w:cs="Times New Roman"/>
        </w:rPr>
        <w:t>$1,000,000</w:t>
      </w:r>
      <w:r w:rsidR="000303B6" w:rsidRPr="005F47C6">
        <w:rPr>
          <w:rFonts w:ascii="Times New Roman" w:eastAsia="標楷體" w:hAnsi="Times New Roman" w:cs="Times New Roman"/>
        </w:rPr>
        <w:t>，根據過去經驗顯示，其中有</w:t>
      </w:r>
      <w:r w:rsidR="000303B6" w:rsidRPr="005F47C6">
        <w:rPr>
          <w:rFonts w:ascii="Times New Roman" w:eastAsia="標楷體" w:hAnsi="Times New Roman" w:cs="Times New Roman"/>
        </w:rPr>
        <w:t>3%</w:t>
      </w:r>
      <w:r w:rsidR="000303B6" w:rsidRPr="005F47C6">
        <w:rPr>
          <w:rFonts w:ascii="Times New Roman" w:eastAsia="標楷體" w:hAnsi="Times New Roman" w:cs="Times New Roman"/>
        </w:rPr>
        <w:t>無法收回，故提列備抵壞帳</w:t>
      </w:r>
      <w:r w:rsidR="000303B6" w:rsidRPr="005F47C6">
        <w:rPr>
          <w:rFonts w:ascii="Times New Roman" w:eastAsia="標楷體" w:hAnsi="Times New Roman" w:cs="Times New Roman"/>
        </w:rPr>
        <w:t>$30,000</w:t>
      </w:r>
      <w:r w:rsidR="000303B6" w:rsidRPr="005F47C6">
        <w:rPr>
          <w:rFonts w:ascii="Times New Roman" w:eastAsia="標楷體" w:hAnsi="Times New Roman" w:cs="Times New Roman"/>
        </w:rPr>
        <w:t>。雲</w:t>
      </w:r>
      <w:proofErr w:type="gramStart"/>
      <w:r w:rsidR="000303B6" w:rsidRPr="005F47C6">
        <w:rPr>
          <w:rFonts w:ascii="Times New Roman" w:eastAsia="標楷體" w:hAnsi="Times New Roman" w:cs="Times New Roman"/>
        </w:rPr>
        <w:t>霓</w:t>
      </w:r>
      <w:proofErr w:type="gramEnd"/>
      <w:r w:rsidR="000303B6" w:rsidRPr="005F47C6">
        <w:rPr>
          <w:rFonts w:ascii="Times New Roman" w:eastAsia="標楷體" w:hAnsi="Times New Roman" w:cs="Times New Roman"/>
        </w:rPr>
        <w:t>公司於</w:t>
      </w:r>
      <w:r w:rsidR="000303B6" w:rsidRPr="005F47C6">
        <w:rPr>
          <w:rFonts w:ascii="Times New Roman" w:eastAsia="標楷體" w:hAnsi="Times New Roman" w:cs="Times New Roman"/>
        </w:rPr>
        <w:t>X2</w:t>
      </w:r>
      <w:r w:rsidR="000303B6" w:rsidRPr="005F47C6">
        <w:rPr>
          <w:rFonts w:ascii="Times New Roman" w:eastAsia="標楷體" w:hAnsi="Times New Roman" w:cs="Times New Roman"/>
        </w:rPr>
        <w:t>年中，賒銷</w:t>
      </w:r>
      <w:r w:rsidR="000303B6" w:rsidRPr="005F47C6">
        <w:rPr>
          <w:rFonts w:ascii="Times New Roman" w:eastAsia="標楷體" w:hAnsi="Times New Roman" w:cs="Times New Roman"/>
        </w:rPr>
        <w:t>$2,500,000</w:t>
      </w:r>
      <w:r w:rsidR="000303B6" w:rsidRPr="005F47C6">
        <w:rPr>
          <w:rFonts w:ascii="Times New Roman" w:eastAsia="標楷體" w:hAnsi="Times New Roman" w:cs="Times New Roman"/>
        </w:rPr>
        <w:t>，帳款收現</w:t>
      </w:r>
      <w:r w:rsidR="000303B6" w:rsidRPr="005F47C6">
        <w:rPr>
          <w:rFonts w:ascii="Times New Roman" w:eastAsia="標楷體" w:hAnsi="Times New Roman" w:cs="Times New Roman"/>
        </w:rPr>
        <w:t>$2,350,000</w:t>
      </w:r>
      <w:r w:rsidR="000303B6" w:rsidRPr="005F47C6">
        <w:rPr>
          <w:rFonts w:ascii="Times New Roman" w:eastAsia="標楷體" w:hAnsi="Times New Roman" w:cs="Times New Roman"/>
        </w:rPr>
        <w:t>，</w:t>
      </w:r>
      <w:r w:rsidR="000303B6" w:rsidRPr="005F47C6">
        <w:rPr>
          <w:rFonts w:ascii="Times New Roman" w:eastAsia="標楷體" w:hAnsi="Times New Roman" w:cs="Times New Roman"/>
        </w:rPr>
        <w:t>X2</w:t>
      </w:r>
      <w:r w:rsidR="000303B6" w:rsidRPr="005F47C6">
        <w:rPr>
          <w:rFonts w:ascii="Times New Roman" w:eastAsia="標楷體" w:hAnsi="Times New Roman" w:cs="Times New Roman"/>
        </w:rPr>
        <w:t>年底估計應收帳款中約有</w:t>
      </w:r>
      <w:r w:rsidR="000303B6" w:rsidRPr="005F47C6">
        <w:rPr>
          <w:rFonts w:ascii="Times New Roman" w:eastAsia="標楷體" w:hAnsi="Times New Roman" w:cs="Times New Roman"/>
        </w:rPr>
        <w:t>5%</w:t>
      </w:r>
      <w:r w:rsidR="000303B6" w:rsidRPr="005F47C6">
        <w:rPr>
          <w:rFonts w:ascii="Times New Roman" w:eastAsia="標楷體" w:hAnsi="Times New Roman" w:cs="Times New Roman"/>
        </w:rPr>
        <w:t>無法收回，則雲</w:t>
      </w:r>
      <w:proofErr w:type="gramStart"/>
      <w:r w:rsidR="000303B6" w:rsidRPr="005F47C6">
        <w:rPr>
          <w:rFonts w:ascii="Times New Roman" w:eastAsia="標楷體" w:hAnsi="Times New Roman" w:cs="Times New Roman"/>
        </w:rPr>
        <w:t>霓</w:t>
      </w:r>
      <w:proofErr w:type="gramEnd"/>
      <w:r w:rsidR="000303B6" w:rsidRPr="005F47C6">
        <w:rPr>
          <w:rFonts w:ascii="Times New Roman" w:eastAsia="標楷體" w:hAnsi="Times New Roman" w:cs="Times New Roman"/>
        </w:rPr>
        <w:t>公司</w:t>
      </w:r>
      <w:r w:rsidR="000303B6" w:rsidRPr="005F47C6">
        <w:rPr>
          <w:rFonts w:ascii="Times New Roman" w:eastAsia="標楷體" w:hAnsi="Times New Roman" w:cs="Times New Roman"/>
        </w:rPr>
        <w:t>X</w:t>
      </w:r>
      <w:proofErr w:type="gramStart"/>
      <w:r w:rsidR="000303B6" w:rsidRPr="005F47C6">
        <w:rPr>
          <w:rFonts w:ascii="Times New Roman" w:eastAsia="標楷體" w:hAnsi="Times New Roman" w:cs="Times New Roman"/>
        </w:rPr>
        <w:t>2</w:t>
      </w:r>
      <w:proofErr w:type="gramEnd"/>
      <w:r w:rsidR="000303B6" w:rsidRPr="005F47C6">
        <w:rPr>
          <w:rFonts w:ascii="Times New Roman" w:eastAsia="標楷體" w:hAnsi="Times New Roman" w:cs="Times New Roman"/>
        </w:rPr>
        <w:t>年度所認列之壞帳費用為：</w:t>
      </w:r>
      <w:r w:rsidRPr="005F47C6">
        <w:rPr>
          <w:rFonts w:ascii="Times New Roman" w:eastAsia="標楷體" w:hAnsi="Times New Roman" w:cs="Times New Roman"/>
        </w:rPr>
        <w:t>(A)$27,500</w:t>
      </w:r>
      <w:r w:rsidRPr="005F47C6">
        <w:rPr>
          <w:rFonts w:ascii="Times New Roman" w:eastAsia="標楷體" w:hAnsi="Times New Roman" w:cs="Times New Roman"/>
        </w:rPr>
        <w:tab/>
        <w:t>(B)$30,500</w:t>
      </w:r>
      <w:r w:rsidRPr="005F47C6">
        <w:rPr>
          <w:rFonts w:ascii="Times New Roman" w:eastAsia="標楷體" w:hAnsi="Times New Roman" w:cs="Times New Roman" w:hint="eastAsia"/>
        </w:rPr>
        <w:t xml:space="preserve"> </w:t>
      </w:r>
      <w:r w:rsidRPr="005F47C6">
        <w:rPr>
          <w:rFonts w:ascii="Times New Roman" w:eastAsia="標楷體" w:hAnsi="Times New Roman" w:cs="Times New Roman"/>
        </w:rPr>
        <w:t>(C)$35,500</w:t>
      </w:r>
      <w:r w:rsidR="000303B6" w:rsidRPr="005F47C6">
        <w:rPr>
          <w:rFonts w:ascii="Times New Roman" w:eastAsia="標楷體" w:hAnsi="Times New Roman" w:cs="Times New Roman"/>
        </w:rPr>
        <w:t>(D)$37,500</w:t>
      </w:r>
    </w:p>
    <w:p w:rsidR="00024B55" w:rsidRPr="005F47C6" w:rsidRDefault="00024B55" w:rsidP="00024B55">
      <w:pPr>
        <w:pStyle w:val="a7"/>
        <w:numPr>
          <w:ilvl w:val="0"/>
          <w:numId w:val="7"/>
        </w:numPr>
        <w:ind w:leftChars="0"/>
        <w:jc w:val="both"/>
        <w:rPr>
          <w:rFonts w:ascii="Times New Roman" w:eastAsia="標楷體" w:hAnsi="Times New Roman" w:cs="Times New Roman"/>
        </w:rPr>
      </w:pPr>
      <w:r w:rsidRPr="005F47C6">
        <w:rPr>
          <w:rFonts w:ascii="Times New Roman" w:eastAsia="標楷體" w:hAnsi="Times New Roman" w:cs="Times New Roman"/>
        </w:rPr>
        <w:t>山色公司以甲設備交換湖光公司之乙設備（另外支付現金</w:t>
      </w:r>
      <w:r w:rsidRPr="005F47C6">
        <w:rPr>
          <w:rFonts w:ascii="Times New Roman" w:eastAsia="標楷體" w:hAnsi="Times New Roman" w:cs="Times New Roman"/>
        </w:rPr>
        <w:t>$20,000</w:t>
      </w:r>
      <w:r w:rsidRPr="005F47C6">
        <w:rPr>
          <w:rFonts w:ascii="Times New Roman" w:eastAsia="標楷體" w:hAnsi="Times New Roman" w:cs="Times New Roman"/>
        </w:rPr>
        <w:t>），換出資產之相關資料如下：</w:t>
      </w:r>
    </w:p>
    <w:tbl>
      <w:tblPr>
        <w:tblW w:w="0" w:type="auto"/>
        <w:tblInd w:w="959" w:type="dxa"/>
        <w:tblLook w:val="01E0" w:firstRow="1" w:lastRow="1" w:firstColumn="1" w:lastColumn="1" w:noHBand="0" w:noVBand="0"/>
      </w:tblPr>
      <w:tblGrid>
        <w:gridCol w:w="2357"/>
        <w:gridCol w:w="2321"/>
        <w:gridCol w:w="2409"/>
      </w:tblGrid>
      <w:tr w:rsidR="00024B55" w:rsidRPr="00024B55" w:rsidTr="003D798A">
        <w:trPr>
          <w:trHeight w:val="549"/>
        </w:trPr>
        <w:tc>
          <w:tcPr>
            <w:tcW w:w="2357" w:type="dxa"/>
          </w:tcPr>
          <w:p w:rsidR="00024B55" w:rsidRPr="00024B55" w:rsidRDefault="00024B55" w:rsidP="00024B5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21" w:type="dxa"/>
            <w:vAlign w:val="center"/>
          </w:tcPr>
          <w:p w:rsidR="00024B55" w:rsidRPr="00024B55" w:rsidRDefault="00024B55" w:rsidP="00024B55">
            <w:pPr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024B55">
              <w:rPr>
                <w:rFonts w:ascii="Times New Roman" w:eastAsia="標楷體" w:hAnsi="Times New Roman" w:cs="Times New Roman"/>
                <w:u w:val="single"/>
              </w:rPr>
              <w:t>甲設備</w:t>
            </w:r>
          </w:p>
        </w:tc>
        <w:tc>
          <w:tcPr>
            <w:tcW w:w="2409" w:type="dxa"/>
            <w:vAlign w:val="center"/>
          </w:tcPr>
          <w:p w:rsidR="00024B55" w:rsidRPr="00024B55" w:rsidRDefault="00024B55" w:rsidP="00024B55">
            <w:pPr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024B55">
              <w:rPr>
                <w:rFonts w:ascii="Times New Roman" w:eastAsia="標楷體" w:hAnsi="Times New Roman" w:cs="Times New Roman"/>
                <w:u w:val="single"/>
              </w:rPr>
              <w:t>乙設備</w:t>
            </w:r>
          </w:p>
        </w:tc>
      </w:tr>
      <w:tr w:rsidR="00024B55" w:rsidRPr="00024B55" w:rsidTr="003D798A">
        <w:trPr>
          <w:trHeight w:val="393"/>
        </w:trPr>
        <w:tc>
          <w:tcPr>
            <w:tcW w:w="2357" w:type="dxa"/>
          </w:tcPr>
          <w:p w:rsidR="00024B55" w:rsidRPr="00024B55" w:rsidRDefault="00024B55" w:rsidP="00024B5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24B55">
              <w:rPr>
                <w:rFonts w:ascii="Times New Roman" w:eastAsia="標楷體" w:hAnsi="Times New Roman" w:cs="Times New Roman"/>
              </w:rPr>
              <w:t>資產成本</w:t>
            </w:r>
          </w:p>
        </w:tc>
        <w:tc>
          <w:tcPr>
            <w:tcW w:w="2321" w:type="dxa"/>
          </w:tcPr>
          <w:p w:rsidR="00024B55" w:rsidRPr="00024B55" w:rsidRDefault="00024B55" w:rsidP="00024B5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24B55">
              <w:rPr>
                <w:rFonts w:ascii="Times New Roman" w:eastAsia="標楷體" w:hAnsi="Times New Roman" w:cs="Times New Roman"/>
              </w:rPr>
              <w:t>$110,000</w:t>
            </w:r>
          </w:p>
        </w:tc>
        <w:tc>
          <w:tcPr>
            <w:tcW w:w="2409" w:type="dxa"/>
          </w:tcPr>
          <w:p w:rsidR="00024B55" w:rsidRPr="00024B55" w:rsidRDefault="00024B55" w:rsidP="00024B5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24B55">
              <w:rPr>
                <w:rFonts w:ascii="Times New Roman" w:eastAsia="標楷體" w:hAnsi="Times New Roman" w:cs="Times New Roman"/>
              </w:rPr>
              <w:t>$96,000</w:t>
            </w:r>
          </w:p>
        </w:tc>
      </w:tr>
      <w:tr w:rsidR="00024B55" w:rsidRPr="00024B55" w:rsidTr="003D798A">
        <w:trPr>
          <w:trHeight w:val="393"/>
        </w:trPr>
        <w:tc>
          <w:tcPr>
            <w:tcW w:w="2357" w:type="dxa"/>
          </w:tcPr>
          <w:p w:rsidR="00024B55" w:rsidRPr="00024B55" w:rsidRDefault="00024B55" w:rsidP="00024B5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24B55">
              <w:rPr>
                <w:rFonts w:ascii="Times New Roman" w:eastAsia="標楷體" w:hAnsi="Times New Roman" w:cs="Times New Roman"/>
              </w:rPr>
              <w:t>資產累計折舊</w:t>
            </w:r>
          </w:p>
        </w:tc>
        <w:tc>
          <w:tcPr>
            <w:tcW w:w="2321" w:type="dxa"/>
          </w:tcPr>
          <w:p w:rsidR="00024B55" w:rsidRPr="00024B55" w:rsidRDefault="00024B55" w:rsidP="00024B5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24B55">
              <w:rPr>
                <w:rFonts w:ascii="Times New Roman" w:eastAsia="標楷體" w:hAnsi="Times New Roman" w:cs="Times New Roman"/>
              </w:rPr>
              <w:t>45,000</w:t>
            </w:r>
          </w:p>
        </w:tc>
        <w:tc>
          <w:tcPr>
            <w:tcW w:w="2409" w:type="dxa"/>
          </w:tcPr>
          <w:p w:rsidR="00024B55" w:rsidRPr="00024B55" w:rsidRDefault="00024B55" w:rsidP="00024B5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24B55">
              <w:rPr>
                <w:rFonts w:ascii="Times New Roman" w:eastAsia="標楷體" w:hAnsi="Times New Roman" w:cs="Times New Roman"/>
              </w:rPr>
              <w:t>50,000</w:t>
            </w:r>
          </w:p>
        </w:tc>
      </w:tr>
      <w:tr w:rsidR="00024B55" w:rsidRPr="00024B55" w:rsidTr="003D798A">
        <w:trPr>
          <w:trHeight w:val="393"/>
        </w:trPr>
        <w:tc>
          <w:tcPr>
            <w:tcW w:w="2357" w:type="dxa"/>
          </w:tcPr>
          <w:p w:rsidR="00024B55" w:rsidRPr="00024B55" w:rsidRDefault="00024B55" w:rsidP="00024B5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24B55">
              <w:rPr>
                <w:rFonts w:ascii="Times New Roman" w:eastAsia="標楷體" w:hAnsi="Times New Roman" w:cs="Times New Roman"/>
              </w:rPr>
              <w:t>資產公允價值</w:t>
            </w:r>
          </w:p>
        </w:tc>
        <w:tc>
          <w:tcPr>
            <w:tcW w:w="2321" w:type="dxa"/>
          </w:tcPr>
          <w:p w:rsidR="00024B55" w:rsidRPr="00024B55" w:rsidRDefault="00024B55" w:rsidP="00024B5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24B55">
              <w:rPr>
                <w:rFonts w:ascii="Times New Roman" w:eastAsia="標楷體" w:hAnsi="Times New Roman" w:cs="Times New Roman"/>
              </w:rPr>
              <w:t>60,000</w:t>
            </w:r>
          </w:p>
        </w:tc>
        <w:tc>
          <w:tcPr>
            <w:tcW w:w="2409" w:type="dxa"/>
          </w:tcPr>
          <w:p w:rsidR="00024B55" w:rsidRPr="00024B55" w:rsidRDefault="00024B55" w:rsidP="00024B5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24B55">
              <w:rPr>
                <w:rFonts w:ascii="Times New Roman" w:eastAsia="標楷體" w:hAnsi="Times New Roman" w:cs="Times New Roman"/>
              </w:rPr>
              <w:t>80,000</w:t>
            </w:r>
          </w:p>
        </w:tc>
      </w:tr>
    </w:tbl>
    <w:p w:rsidR="00024B55" w:rsidRDefault="00024B55" w:rsidP="00024B55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 w:rsidR="005F47C6">
        <w:rPr>
          <w:rFonts w:ascii="Times New Roman" w:eastAsia="標楷體" w:hAnsi="Times New Roman" w:cs="Times New Roman"/>
        </w:rPr>
        <w:t xml:space="preserve">    </w:t>
      </w:r>
      <w:r w:rsidRPr="00024B55">
        <w:rPr>
          <w:rFonts w:ascii="Times New Roman" w:eastAsia="標楷體" w:hAnsi="Times New Roman" w:cs="Times New Roman"/>
        </w:rPr>
        <w:t>假設此項交換具商業實質，則山色公司帳上應</w:t>
      </w:r>
      <w:proofErr w:type="gramStart"/>
      <w:r w:rsidRPr="00024B55">
        <w:rPr>
          <w:rFonts w:ascii="Times New Roman" w:eastAsia="標楷體" w:hAnsi="Times New Roman" w:cs="Times New Roman"/>
        </w:rPr>
        <w:t>認列乙設備</w:t>
      </w:r>
      <w:proofErr w:type="gramEnd"/>
      <w:r w:rsidRPr="00024B55">
        <w:rPr>
          <w:rFonts w:ascii="Times New Roman" w:eastAsia="標楷體" w:hAnsi="Times New Roman" w:cs="Times New Roman"/>
        </w:rPr>
        <w:t>之金額為：</w:t>
      </w:r>
    </w:p>
    <w:p w:rsidR="00024B55" w:rsidRPr="00024B55" w:rsidRDefault="00024B55" w:rsidP="00024B55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 w:rsidR="005F47C6">
        <w:rPr>
          <w:rFonts w:ascii="Times New Roman" w:eastAsia="標楷體" w:hAnsi="Times New Roman" w:cs="Times New Roman"/>
        </w:rPr>
        <w:t xml:space="preserve">    </w:t>
      </w:r>
      <w:r w:rsidRPr="00024B55">
        <w:rPr>
          <w:rFonts w:ascii="Times New Roman" w:eastAsia="標楷體" w:hAnsi="Times New Roman" w:cs="Times New Roman"/>
        </w:rPr>
        <w:t>(A)$46,000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024B55">
        <w:rPr>
          <w:rFonts w:ascii="Times New Roman" w:eastAsia="標楷體" w:hAnsi="Times New Roman" w:cs="Times New Roman"/>
        </w:rPr>
        <w:t>(B</w:t>
      </w:r>
      <w:proofErr w:type="gramStart"/>
      <w:r w:rsidRPr="00024B55">
        <w:rPr>
          <w:rFonts w:ascii="Times New Roman" w:eastAsia="標楷體" w:hAnsi="Times New Roman" w:cs="Times New Roman"/>
        </w:rPr>
        <w:t>)$</w:t>
      </w:r>
      <w:proofErr w:type="gramEnd"/>
      <w:r w:rsidRPr="00024B55">
        <w:rPr>
          <w:rFonts w:ascii="Times New Roman" w:eastAsia="標楷體" w:hAnsi="Times New Roman" w:cs="Times New Roman"/>
        </w:rPr>
        <w:t>66,000(C)$80,000(D)$96,000</w:t>
      </w:r>
    </w:p>
    <w:p w:rsidR="00024B55" w:rsidRPr="000303B6" w:rsidRDefault="00024B55" w:rsidP="000303B6">
      <w:pPr>
        <w:jc w:val="both"/>
        <w:rPr>
          <w:rFonts w:ascii="Times New Roman" w:eastAsia="標楷體" w:hAnsi="Times New Roman" w:cs="Times New Roman"/>
        </w:rPr>
      </w:pPr>
    </w:p>
    <w:sectPr w:rsidR="00024B55" w:rsidRPr="000303B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DFA" w:rsidRDefault="00623DFA" w:rsidP="00E076F8">
      <w:r>
        <w:separator/>
      </w:r>
    </w:p>
  </w:endnote>
  <w:endnote w:type="continuationSeparator" w:id="0">
    <w:p w:rsidR="00623DFA" w:rsidRDefault="00623DFA" w:rsidP="00E0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7314976"/>
      <w:docPartObj>
        <w:docPartGallery w:val="Page Numbers (Bottom of Page)"/>
        <w:docPartUnique/>
      </w:docPartObj>
    </w:sdtPr>
    <w:sdtEndPr/>
    <w:sdtContent>
      <w:p w:rsidR="00F650D9" w:rsidRDefault="00F650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E52" w:rsidRPr="00A62E52">
          <w:rPr>
            <w:noProof/>
            <w:lang w:val="zh-TW"/>
          </w:rPr>
          <w:t>3</w:t>
        </w:r>
        <w:r>
          <w:fldChar w:fldCharType="end"/>
        </w:r>
      </w:p>
    </w:sdtContent>
  </w:sdt>
  <w:p w:rsidR="00F650D9" w:rsidRDefault="00F650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DFA" w:rsidRDefault="00623DFA" w:rsidP="00E076F8">
      <w:r>
        <w:separator/>
      </w:r>
    </w:p>
  </w:footnote>
  <w:footnote w:type="continuationSeparator" w:id="0">
    <w:p w:rsidR="00623DFA" w:rsidRDefault="00623DFA" w:rsidP="00E07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4B56"/>
    <w:multiLevelType w:val="hybridMultilevel"/>
    <w:tmpl w:val="B6E27EE0"/>
    <w:lvl w:ilvl="0" w:tplc="91D4EF6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3A763B5"/>
    <w:multiLevelType w:val="hybridMultilevel"/>
    <w:tmpl w:val="F3CC8DC6"/>
    <w:lvl w:ilvl="0" w:tplc="C306607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0D86385"/>
    <w:multiLevelType w:val="hybridMultilevel"/>
    <w:tmpl w:val="D0C6EB16"/>
    <w:lvl w:ilvl="0" w:tplc="C60C69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33901C2"/>
    <w:multiLevelType w:val="hybridMultilevel"/>
    <w:tmpl w:val="46D61106"/>
    <w:lvl w:ilvl="0" w:tplc="A832EF9A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4562369"/>
    <w:multiLevelType w:val="hybridMultilevel"/>
    <w:tmpl w:val="FFFCFD3A"/>
    <w:lvl w:ilvl="0" w:tplc="B7D4B49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D58314D"/>
    <w:multiLevelType w:val="hybridMultilevel"/>
    <w:tmpl w:val="D8D614AC"/>
    <w:lvl w:ilvl="0" w:tplc="444EF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5A94AD1"/>
    <w:multiLevelType w:val="hybridMultilevel"/>
    <w:tmpl w:val="5A2229AA"/>
    <w:lvl w:ilvl="0" w:tplc="C8F86F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AA"/>
    <w:rsid w:val="00024B55"/>
    <w:rsid w:val="000303B6"/>
    <w:rsid w:val="000C49B5"/>
    <w:rsid w:val="00114054"/>
    <w:rsid w:val="0037381B"/>
    <w:rsid w:val="004911BF"/>
    <w:rsid w:val="005F47C6"/>
    <w:rsid w:val="006175AA"/>
    <w:rsid w:val="00623DFA"/>
    <w:rsid w:val="00637E8D"/>
    <w:rsid w:val="00694FFA"/>
    <w:rsid w:val="00931EDE"/>
    <w:rsid w:val="00947BD7"/>
    <w:rsid w:val="00A62E52"/>
    <w:rsid w:val="00AD4A3A"/>
    <w:rsid w:val="00B83A07"/>
    <w:rsid w:val="00E059D1"/>
    <w:rsid w:val="00E076F8"/>
    <w:rsid w:val="00E0783A"/>
    <w:rsid w:val="00F4139C"/>
    <w:rsid w:val="00F6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528984-751B-4537-BC03-FF1AAD47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76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76F8"/>
    <w:rPr>
      <w:sz w:val="20"/>
      <w:szCs w:val="20"/>
    </w:rPr>
  </w:style>
  <w:style w:type="paragraph" w:styleId="a7">
    <w:name w:val="List Paragraph"/>
    <w:basedOn w:val="a"/>
    <w:uiPriority w:val="34"/>
    <w:qFormat/>
    <w:rsid w:val="00024B5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65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50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CTBCUser</dc:creator>
  <cp:keywords/>
  <dc:description/>
  <cp:lastModifiedBy>CTBCUser</cp:lastModifiedBy>
  <cp:revision>14</cp:revision>
  <cp:lastPrinted>2017-04-16T09:48:00Z</cp:lastPrinted>
  <dcterms:created xsi:type="dcterms:W3CDTF">2017-04-16T04:57:00Z</dcterms:created>
  <dcterms:modified xsi:type="dcterms:W3CDTF">2017-04-17T04:59:00Z</dcterms:modified>
</cp:coreProperties>
</file>